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1DBC6" w14:textId="0D6C8A4B" w:rsidR="00F9566C" w:rsidRPr="008B011F" w:rsidRDefault="002B73C6" w:rsidP="008B011F">
      <w:pPr>
        <w:spacing w:after="330" w:line="42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0F0F0F"/>
          <w:lang w:eastAsia="en-GB"/>
        </w:rPr>
      </w:pPr>
      <w:r w:rsidRPr="008B011F">
        <w:rPr>
          <w:rFonts w:ascii="Open Sans" w:eastAsia="Times New Roman" w:hAnsi="Open Sans" w:cs="Open Sans"/>
          <w:b/>
          <w:bCs/>
          <w:color w:val="0F0F0F"/>
          <w:lang w:eastAsia="en-GB"/>
        </w:rPr>
        <w:t>Output task 1</w:t>
      </w:r>
      <w:r w:rsidR="00B472AF">
        <w:rPr>
          <w:rFonts w:ascii="Open Sans" w:eastAsia="Times New Roman" w:hAnsi="Open Sans" w:cs="Open Sans"/>
          <w:b/>
          <w:bCs/>
          <w:color w:val="0F0F0F"/>
          <w:lang w:eastAsia="en-GB"/>
        </w:rPr>
        <w:t xml:space="preserve">: </w:t>
      </w:r>
      <w:r w:rsidRPr="008B011F">
        <w:rPr>
          <w:rFonts w:ascii="Open Sans" w:eastAsia="Times New Roman" w:hAnsi="Open Sans" w:cs="Open Sans"/>
          <w:b/>
          <w:bCs/>
          <w:color w:val="0F0F0F"/>
          <w:lang w:eastAsia="en-GB"/>
        </w:rPr>
        <w:t xml:space="preserve"> </w:t>
      </w:r>
      <w:r w:rsidR="008B011F" w:rsidRPr="008B011F">
        <w:rPr>
          <w:rFonts w:ascii="Open Sans" w:eastAsia="Times New Roman" w:hAnsi="Open Sans" w:cs="Open Sans"/>
          <w:b/>
          <w:bCs/>
          <w:color w:val="0F0F0F"/>
          <w:lang w:eastAsia="en-GB"/>
        </w:rPr>
        <w:t>Propose TBLT in a school or institution</w:t>
      </w:r>
      <w:r w:rsidR="008B011F" w:rsidRPr="008B011F">
        <w:rPr>
          <w:rFonts w:ascii="Open Sans" w:eastAsia="Times New Roman" w:hAnsi="Open Sans" w:cs="Open Sans"/>
          <w:b/>
          <w:bCs/>
          <w:color w:val="0F0F0F"/>
          <w:lang w:eastAsia="en-GB"/>
        </w:rPr>
        <w:t xml:space="preserve"> </w:t>
      </w:r>
      <w:r w:rsidR="008B011F" w:rsidRPr="008B011F">
        <w:rPr>
          <w:rFonts w:ascii="Open Sans" w:eastAsia="Times New Roman" w:hAnsi="Open Sans" w:cs="Open Sans"/>
          <w:b/>
          <w:bCs/>
          <w:color w:val="0F0F0F"/>
          <w:lang w:eastAsia="en-GB"/>
        </w:rPr>
        <w:t>–</w:t>
      </w:r>
      <w:r w:rsidR="008B011F" w:rsidRPr="008B011F">
        <w:rPr>
          <w:rFonts w:ascii="Open Sans" w:eastAsia="Times New Roman" w:hAnsi="Open Sans" w:cs="Open Sans"/>
          <w:b/>
          <w:bCs/>
          <w:color w:val="0F0F0F"/>
          <w:lang w:eastAsia="en-GB"/>
        </w:rPr>
        <w:t xml:space="preserve"> </w:t>
      </w:r>
      <w:r w:rsidRPr="008B011F">
        <w:rPr>
          <w:rFonts w:ascii="Open Sans" w:eastAsia="Times New Roman" w:hAnsi="Open Sans" w:cs="Open Sans"/>
          <w:b/>
          <w:bCs/>
          <w:color w:val="0F0F0F"/>
          <w:lang w:eastAsia="en-GB"/>
        </w:rPr>
        <w:t>Paul Walsh</w:t>
      </w:r>
    </w:p>
    <w:p w14:paraId="5BCD04DB" w14:textId="5E15FC79" w:rsidR="002B73C6" w:rsidRPr="00090759" w:rsidRDefault="001D752C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b/>
          <w:bCs/>
          <w:color w:val="0F0F0F"/>
          <w:lang w:eastAsia="en-GB"/>
        </w:rPr>
      </w:pPr>
      <w:r>
        <w:rPr>
          <w:rFonts w:ascii="Open Sans" w:eastAsia="Times New Roman" w:hAnsi="Open Sans" w:cs="Open Sans"/>
          <w:b/>
          <w:bCs/>
          <w:color w:val="0F0F0F"/>
          <w:lang w:eastAsia="en-GB"/>
        </w:rPr>
        <w:t xml:space="preserve">1. </w:t>
      </w:r>
      <w:r w:rsidR="002B73C6" w:rsidRPr="00090759">
        <w:rPr>
          <w:rFonts w:ascii="Open Sans" w:eastAsia="Times New Roman" w:hAnsi="Open Sans" w:cs="Open Sans"/>
          <w:b/>
          <w:bCs/>
          <w:color w:val="0F0F0F"/>
          <w:lang w:eastAsia="en-GB"/>
        </w:rPr>
        <w:t>An overview of the principle differences between TBLT and the synthetic approach followed so far (</w:t>
      </w:r>
      <w:r w:rsidR="002B73C6" w:rsidRPr="00090759">
        <w:rPr>
          <w:rFonts w:ascii="Open Sans" w:eastAsia="Times New Roman" w:hAnsi="Open Sans" w:cs="Open Sans"/>
          <w:b/>
          <w:bCs/>
          <w:color w:val="0F0F0F"/>
          <w:bdr w:val="none" w:sz="0" w:space="0" w:color="auto" w:frame="1"/>
          <w:lang w:eastAsia="en-GB"/>
        </w:rPr>
        <w:t>specify</w:t>
      </w:r>
      <w:r w:rsidR="002B73C6" w:rsidRPr="00090759">
        <w:rPr>
          <w:rFonts w:ascii="Open Sans" w:eastAsia="Times New Roman" w:hAnsi="Open Sans" w:cs="Open Sans"/>
          <w:b/>
          <w:bCs/>
          <w:color w:val="0F0F0F"/>
          <w:lang w:eastAsia="en-GB"/>
        </w:rPr>
        <w:t> what this approach has been)</w:t>
      </w:r>
    </w:p>
    <w:p w14:paraId="313A1E67" w14:textId="1DAD181B" w:rsidR="002B73C6" w:rsidRPr="00090759" w:rsidRDefault="002B73C6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b/>
          <w:bCs/>
          <w:color w:val="0F0F0F"/>
          <w:lang w:eastAsia="en-GB"/>
        </w:rPr>
      </w:pPr>
    </w:p>
    <w:p w14:paraId="1482909D" w14:textId="02FE8AE0" w:rsidR="002B73C6" w:rsidRPr="00090759" w:rsidRDefault="00201E81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If </w:t>
      </w:r>
      <w:r w:rsidR="001D752C">
        <w:rPr>
          <w:rFonts w:ascii="Open Sans" w:eastAsia="Times New Roman" w:hAnsi="Open Sans" w:cs="Open Sans"/>
          <w:color w:val="0F0F0F"/>
          <w:lang w:eastAsia="en-GB"/>
        </w:rPr>
        <w:t>you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look at the </w:t>
      </w:r>
      <w:hyperlink r:id="rId8" w:history="1">
        <w:r w:rsidRPr="00090759">
          <w:rPr>
            <w:rStyle w:val="Hyperlink"/>
            <w:rFonts w:ascii="Open Sans" w:eastAsia="Times New Roman" w:hAnsi="Open Sans" w:cs="Open Sans"/>
            <w:lang w:eastAsia="en-GB"/>
          </w:rPr>
          <w:t xml:space="preserve">course catalogue </w:t>
        </w:r>
        <w:r w:rsidR="001D752C">
          <w:rPr>
            <w:rStyle w:val="Hyperlink"/>
            <w:rFonts w:ascii="Open Sans" w:eastAsia="Times New Roman" w:hAnsi="Open Sans" w:cs="Open Sans"/>
            <w:lang w:eastAsia="en-GB"/>
          </w:rPr>
          <w:t>containing</w:t>
        </w:r>
        <w:r w:rsidRPr="00090759">
          <w:rPr>
            <w:rStyle w:val="Hyperlink"/>
            <w:rFonts w:ascii="Open Sans" w:eastAsia="Times New Roman" w:hAnsi="Open Sans" w:cs="Open Sans"/>
            <w:lang w:eastAsia="en-GB"/>
          </w:rPr>
          <w:t xml:space="preserve"> the c</w:t>
        </w:r>
        <w:r w:rsidRPr="00090759">
          <w:rPr>
            <w:rStyle w:val="Hyperlink"/>
            <w:rFonts w:ascii="Open Sans" w:eastAsia="Times New Roman" w:hAnsi="Open Sans" w:cs="Open Sans"/>
            <w:lang w:eastAsia="en-GB"/>
          </w:rPr>
          <w:t>o</w:t>
        </w:r>
        <w:r w:rsidRPr="00090759">
          <w:rPr>
            <w:rStyle w:val="Hyperlink"/>
            <w:rFonts w:ascii="Open Sans" w:eastAsia="Times New Roman" w:hAnsi="Open Sans" w:cs="Open Sans"/>
            <w:lang w:eastAsia="en-GB"/>
          </w:rPr>
          <w:t>urses offered at C1 level</w:t>
        </w:r>
      </w:hyperlink>
      <w:r w:rsidR="001D752C" w:rsidRPr="00090759">
        <w:rPr>
          <w:rStyle w:val="FootnoteReference"/>
          <w:rFonts w:ascii="Open Sans" w:eastAsia="Times New Roman" w:hAnsi="Open Sans" w:cs="Open Sans"/>
          <w:color w:val="0F0F0F"/>
          <w:lang w:eastAsia="en-GB"/>
        </w:rPr>
        <w:footnoteReference w:id="1"/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at my workplace, Humboldt University Language Centre in </w:t>
      </w:r>
      <w:r w:rsidR="00A651B7" w:rsidRPr="00090759">
        <w:rPr>
          <w:rFonts w:ascii="Open Sans" w:eastAsia="Times New Roman" w:hAnsi="Open Sans" w:cs="Open Sans"/>
          <w:color w:val="0F0F0F"/>
          <w:lang w:eastAsia="en-GB"/>
        </w:rPr>
        <w:t>Berlin</w:t>
      </w:r>
      <w:r w:rsidR="00657699" w:rsidRPr="00090759">
        <w:rPr>
          <w:rFonts w:ascii="Open Sans" w:eastAsia="Times New Roman" w:hAnsi="Open Sans" w:cs="Open Sans"/>
          <w:color w:val="0F0F0F"/>
          <w:lang w:eastAsia="en-GB"/>
        </w:rPr>
        <w:t>,</w:t>
      </w:r>
      <w:r w:rsidR="00A651B7" w:rsidRPr="00090759">
        <w:rPr>
          <w:rFonts w:ascii="Open Sans" w:eastAsia="Times New Roman" w:hAnsi="Open Sans" w:cs="Open Sans"/>
          <w:color w:val="0F0F0F"/>
          <w:lang w:eastAsia="en-GB"/>
        </w:rPr>
        <w:t xml:space="preserve">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it seems that </w:t>
      </w:r>
      <w:r w:rsidR="00AC6470">
        <w:rPr>
          <w:rFonts w:ascii="Open Sans" w:eastAsia="Times New Roman" w:hAnsi="Open Sans" w:cs="Open Sans"/>
          <w:color w:val="0F0F0F"/>
          <w:lang w:eastAsia="en-GB"/>
        </w:rPr>
        <w:t>teachers</w:t>
      </w:r>
      <w:r w:rsidR="00657699" w:rsidRPr="00090759">
        <w:rPr>
          <w:rFonts w:ascii="Open Sans" w:eastAsia="Times New Roman" w:hAnsi="Open Sans" w:cs="Open Sans"/>
          <w:color w:val="0F0F0F"/>
          <w:lang w:eastAsia="en-GB"/>
        </w:rPr>
        <w:t xml:space="preserve"> </w:t>
      </w:r>
      <w:r w:rsidR="00AC6470">
        <w:rPr>
          <w:rFonts w:ascii="Open Sans" w:eastAsia="Times New Roman" w:hAnsi="Open Sans" w:cs="Open Sans"/>
          <w:color w:val="0F0F0F"/>
          <w:lang w:eastAsia="en-GB"/>
        </w:rPr>
        <w:t xml:space="preserve">employ </w:t>
      </w:r>
      <w:r w:rsidR="002B73C6" w:rsidRPr="00090759">
        <w:rPr>
          <w:rFonts w:ascii="Open Sans" w:eastAsia="Times New Roman" w:hAnsi="Open Sans" w:cs="Open Sans"/>
          <w:color w:val="0F0F0F"/>
          <w:lang w:eastAsia="en-GB"/>
        </w:rPr>
        <w:t>a ‘mixed bag’</w:t>
      </w:r>
      <w:r w:rsidR="002867A6" w:rsidRPr="00090759">
        <w:rPr>
          <w:rFonts w:ascii="Open Sans" w:eastAsia="Times New Roman" w:hAnsi="Open Sans" w:cs="Open Sans"/>
          <w:color w:val="0F0F0F"/>
          <w:lang w:eastAsia="en-GB"/>
        </w:rPr>
        <w:t xml:space="preserve"> of teaching approaches</w:t>
      </w:r>
      <w:r w:rsidR="00AC6470">
        <w:rPr>
          <w:rFonts w:ascii="Open Sans" w:eastAsia="Times New Roman" w:hAnsi="Open Sans" w:cs="Open Sans"/>
          <w:color w:val="0F0F0F"/>
          <w:lang w:eastAsia="en-GB"/>
        </w:rPr>
        <w:t>, and this illustrates some of the differences in question.</w:t>
      </w:r>
    </w:p>
    <w:p w14:paraId="0B4A77D6" w14:textId="42E40503" w:rsidR="007C7973" w:rsidRPr="00090759" w:rsidRDefault="007C7973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</w:p>
    <w:p w14:paraId="1BB1C333" w14:textId="13DE3AB8" w:rsidR="007C7973" w:rsidRPr="00090759" w:rsidRDefault="00201E81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color w:val="0F0F0F"/>
          <w:lang w:eastAsia="en-GB"/>
        </w:rPr>
        <w:t>S</w:t>
      </w:r>
      <w:r w:rsidR="007C7973" w:rsidRPr="00090759">
        <w:rPr>
          <w:rFonts w:ascii="Open Sans" w:eastAsia="Times New Roman" w:hAnsi="Open Sans" w:cs="Open Sans"/>
          <w:color w:val="0F0F0F"/>
          <w:lang w:eastAsia="en-GB"/>
        </w:rPr>
        <w:t xml:space="preserve">ome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teachers have clearly adopted a </w:t>
      </w:r>
      <w:r w:rsidR="007C7973" w:rsidRPr="00090759">
        <w:rPr>
          <w:rFonts w:ascii="Open Sans" w:eastAsia="Times New Roman" w:hAnsi="Open Sans" w:cs="Open Sans"/>
          <w:color w:val="0F0F0F"/>
          <w:lang w:eastAsia="en-GB"/>
        </w:rPr>
        <w:t>synthetic approach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; for example</w:t>
      </w:r>
      <w:r w:rsidR="00031ABF" w:rsidRPr="00090759">
        <w:rPr>
          <w:rFonts w:ascii="Open Sans" w:eastAsia="Times New Roman" w:hAnsi="Open Sans" w:cs="Open Sans"/>
          <w:color w:val="0F0F0F"/>
          <w:lang w:eastAsia="en-GB"/>
        </w:rPr>
        <w:t>,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using the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e-textbook</w:t>
      </w:r>
      <w:r w:rsidR="007C7973" w:rsidRPr="00090759">
        <w:rPr>
          <w:rFonts w:ascii="Open Sans" w:eastAsia="Times New Roman" w:hAnsi="Open Sans" w:cs="Open Sans"/>
          <w:color w:val="0F0F0F"/>
          <w:lang w:eastAsia="en-GB"/>
        </w:rPr>
        <w:t xml:space="preserve"> 'Life'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(</w:t>
      </w:r>
      <w:r w:rsidR="002867A6" w:rsidRPr="00090759">
        <w:rPr>
          <w:rFonts w:ascii="Open Sans" w:eastAsia="Times New Roman" w:hAnsi="Open Sans" w:cs="Open Sans"/>
          <w:color w:val="0F0F0F"/>
          <w:lang w:eastAsia="en-GB"/>
        </w:rPr>
        <w:t>with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content from National Geographic) and Advanced ‘Keynote’ (</w:t>
      </w:r>
      <w:r w:rsidR="002867A6" w:rsidRPr="00090759">
        <w:rPr>
          <w:rFonts w:ascii="Open Sans" w:eastAsia="Times New Roman" w:hAnsi="Open Sans" w:cs="Open Sans"/>
          <w:color w:val="0F0F0F"/>
          <w:lang w:eastAsia="en-GB"/>
        </w:rPr>
        <w:t>based on</w:t>
      </w:r>
      <w:r w:rsidR="007C7973" w:rsidRPr="00090759">
        <w:rPr>
          <w:rFonts w:ascii="Open Sans" w:eastAsia="Times New Roman" w:hAnsi="Open Sans" w:cs="Open Sans"/>
          <w:color w:val="0F0F0F"/>
          <w:lang w:eastAsia="en-GB"/>
        </w:rPr>
        <w:t xml:space="preserve"> TED talks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). Long</w:t>
      </w:r>
      <w:r w:rsidR="00031ABF" w:rsidRPr="00090759">
        <w:rPr>
          <w:rFonts w:ascii="Open Sans" w:eastAsia="Times New Roman" w:hAnsi="Open Sans" w:cs="Open Sans"/>
          <w:color w:val="0F0F0F"/>
          <w:lang w:eastAsia="en-GB"/>
        </w:rPr>
        <w:t xml:space="preserve"> (2014: 20)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</w:t>
      </w:r>
      <w:r w:rsidR="00031ABF" w:rsidRPr="00090759">
        <w:rPr>
          <w:rFonts w:ascii="Open Sans" w:eastAsia="Times New Roman" w:hAnsi="Open Sans" w:cs="Open Sans"/>
          <w:color w:val="0F0F0F"/>
          <w:lang w:eastAsia="en-GB"/>
        </w:rPr>
        <w:t>describes the synthetic approach as ‘</w:t>
      </w:r>
      <w:r w:rsidR="00031ABF" w:rsidRPr="00090759">
        <w:rPr>
          <w:rFonts w:ascii="Open Sans" w:eastAsia="Times New Roman" w:hAnsi="Open Sans" w:cs="Open Sans"/>
          <w:color w:val="0F0F0F"/>
          <w:lang w:eastAsia="en-GB"/>
        </w:rPr>
        <w:t>filling the</w:t>
      </w:r>
      <w:r w:rsidR="00031ABF" w:rsidRPr="00090759">
        <w:rPr>
          <w:rFonts w:ascii="Open Sans" w:eastAsia="Times New Roman" w:hAnsi="Open Sans" w:cs="Open Sans"/>
          <w:color w:val="0F0F0F"/>
          <w:lang w:eastAsia="en-GB"/>
        </w:rPr>
        <w:t xml:space="preserve"> </w:t>
      </w:r>
      <w:r w:rsidR="00031ABF" w:rsidRPr="00090759">
        <w:rPr>
          <w:rFonts w:ascii="Open Sans" w:eastAsia="Times New Roman" w:hAnsi="Open Sans" w:cs="Open Sans"/>
          <w:color w:val="0F0F0F"/>
          <w:lang w:eastAsia="en-GB"/>
        </w:rPr>
        <w:t>learner’s linguistic quiver one shiny new arrow at a time</w:t>
      </w:r>
      <w:r w:rsidR="00031ABF" w:rsidRPr="00090759">
        <w:rPr>
          <w:rFonts w:ascii="Open Sans" w:eastAsia="Times New Roman" w:hAnsi="Open Sans" w:cs="Open Sans"/>
          <w:color w:val="0F0F0F"/>
          <w:lang w:eastAsia="en-GB"/>
        </w:rPr>
        <w:t xml:space="preserve">’. The </w:t>
      </w:r>
      <w:r w:rsidR="002867A6" w:rsidRPr="00090759">
        <w:rPr>
          <w:rFonts w:ascii="Open Sans" w:eastAsia="Times New Roman" w:hAnsi="Open Sans" w:cs="Open Sans"/>
          <w:color w:val="0F0F0F"/>
          <w:lang w:eastAsia="en-GB"/>
        </w:rPr>
        <w:t xml:space="preserve">synthetic </w:t>
      </w:r>
      <w:r w:rsidR="00031ABF" w:rsidRPr="00090759">
        <w:rPr>
          <w:rFonts w:ascii="Open Sans" w:eastAsia="Times New Roman" w:hAnsi="Open Sans" w:cs="Open Sans"/>
          <w:color w:val="0F0F0F"/>
          <w:lang w:eastAsia="en-GB"/>
        </w:rPr>
        <w:t xml:space="preserve">course generally proceeds stepwise through ‘bits’ of the language and prescribed grammar items given to the learner in the form of </w:t>
      </w:r>
      <w:r w:rsidR="002867A6" w:rsidRPr="00090759">
        <w:rPr>
          <w:rFonts w:ascii="Open Sans" w:eastAsia="Times New Roman" w:hAnsi="Open Sans" w:cs="Open Sans"/>
          <w:color w:val="0F0F0F"/>
          <w:lang w:eastAsia="en-GB"/>
        </w:rPr>
        <w:t xml:space="preserve">a </w:t>
      </w:r>
      <w:r w:rsidR="00031ABF" w:rsidRPr="00090759">
        <w:rPr>
          <w:rFonts w:ascii="Open Sans" w:eastAsia="Times New Roman" w:hAnsi="Open Sans" w:cs="Open Sans"/>
          <w:color w:val="0F0F0F"/>
          <w:lang w:eastAsia="en-GB"/>
        </w:rPr>
        <w:t>Presentation-Practice-Performance</w:t>
      </w:r>
      <w:r w:rsidR="002867A6" w:rsidRPr="00090759">
        <w:rPr>
          <w:rFonts w:ascii="Open Sans" w:eastAsia="Times New Roman" w:hAnsi="Open Sans" w:cs="Open Sans"/>
          <w:color w:val="0F0F0F"/>
          <w:lang w:eastAsia="en-GB"/>
        </w:rPr>
        <w:t xml:space="preserve"> classroom routine; language here functions more as a</w:t>
      </w:r>
      <w:r w:rsidR="001D752C">
        <w:rPr>
          <w:rFonts w:ascii="Open Sans" w:eastAsia="Times New Roman" w:hAnsi="Open Sans" w:cs="Open Sans"/>
          <w:color w:val="0F0F0F"/>
          <w:lang w:eastAsia="en-GB"/>
        </w:rPr>
        <w:t>n</w:t>
      </w:r>
      <w:r w:rsidR="002867A6" w:rsidRPr="00090759">
        <w:rPr>
          <w:rFonts w:ascii="Open Sans" w:eastAsia="Times New Roman" w:hAnsi="Open Sans" w:cs="Open Sans"/>
          <w:color w:val="0F0F0F"/>
          <w:lang w:eastAsia="en-GB"/>
        </w:rPr>
        <w:t xml:space="preserve"> ‘object’ to be analysed than as something to be </w:t>
      </w:r>
      <w:r w:rsidR="002867A6" w:rsidRPr="00090759">
        <w:rPr>
          <w:rFonts w:ascii="Open Sans" w:eastAsia="Times New Roman" w:hAnsi="Open Sans" w:cs="Open Sans"/>
          <w:i/>
          <w:iCs/>
          <w:color w:val="0F0F0F"/>
          <w:lang w:eastAsia="en-GB"/>
        </w:rPr>
        <w:t>used</w:t>
      </w:r>
      <w:r w:rsidR="00031ABF" w:rsidRPr="00090759">
        <w:rPr>
          <w:rFonts w:ascii="Open Sans" w:eastAsia="Times New Roman" w:hAnsi="Open Sans" w:cs="Open Sans"/>
          <w:color w:val="0F0F0F"/>
          <w:lang w:eastAsia="en-GB"/>
        </w:rPr>
        <w:t xml:space="preserve">.  There are also courses </w:t>
      </w:r>
      <w:r w:rsidR="001D752C">
        <w:rPr>
          <w:rFonts w:ascii="Open Sans" w:eastAsia="Times New Roman" w:hAnsi="Open Sans" w:cs="Open Sans"/>
          <w:color w:val="0F0F0F"/>
          <w:lang w:eastAsia="en-GB"/>
        </w:rPr>
        <w:t xml:space="preserve">offered </w:t>
      </w:r>
      <w:r w:rsidR="00031ABF" w:rsidRPr="00090759">
        <w:rPr>
          <w:rFonts w:ascii="Open Sans" w:eastAsia="Times New Roman" w:hAnsi="Open Sans" w:cs="Open Sans"/>
          <w:color w:val="0F0F0F"/>
          <w:lang w:eastAsia="en-GB"/>
        </w:rPr>
        <w:t xml:space="preserve">which fall under ESP such as </w:t>
      </w:r>
      <w:r w:rsidR="002867A6" w:rsidRPr="00090759">
        <w:rPr>
          <w:rFonts w:ascii="Open Sans" w:eastAsia="Times New Roman" w:hAnsi="Open Sans" w:cs="Open Sans"/>
          <w:color w:val="0F0F0F"/>
          <w:lang w:eastAsia="en-GB"/>
        </w:rPr>
        <w:t>‘</w:t>
      </w:r>
      <w:r w:rsidR="00031ABF" w:rsidRPr="00090759">
        <w:rPr>
          <w:rFonts w:ascii="Open Sans" w:eastAsia="Times New Roman" w:hAnsi="Open Sans" w:cs="Open Sans"/>
          <w:color w:val="0F0F0F"/>
          <w:lang w:eastAsia="en-GB"/>
        </w:rPr>
        <w:t>English for Law</w:t>
      </w:r>
      <w:r w:rsidR="002867A6" w:rsidRPr="00090759">
        <w:rPr>
          <w:rFonts w:ascii="Open Sans" w:eastAsia="Times New Roman" w:hAnsi="Open Sans" w:cs="Open Sans"/>
          <w:color w:val="0F0F0F"/>
          <w:lang w:eastAsia="en-GB"/>
        </w:rPr>
        <w:t>’</w:t>
      </w:r>
      <w:r w:rsidR="00031ABF" w:rsidRPr="00090759">
        <w:rPr>
          <w:rFonts w:ascii="Open Sans" w:eastAsia="Times New Roman" w:hAnsi="Open Sans" w:cs="Open Sans"/>
          <w:color w:val="0F0F0F"/>
          <w:lang w:eastAsia="en-GB"/>
        </w:rPr>
        <w:t>; what seem to be topic-based courses such as ‘English for Film and Media’ and ‘</w:t>
      </w:r>
      <w:r w:rsidR="00031ABF" w:rsidRPr="00090759">
        <w:rPr>
          <w:rFonts w:ascii="Open Sans" w:eastAsia="Times New Roman" w:hAnsi="Open Sans" w:cs="Open Sans"/>
          <w:color w:val="0F0F0F"/>
          <w:lang w:eastAsia="en-GB"/>
        </w:rPr>
        <w:t>English for Students of the Humanities: Race/Gender/Migration</w:t>
      </w:r>
      <w:r w:rsidR="00031ABF" w:rsidRPr="00090759">
        <w:rPr>
          <w:rFonts w:ascii="Open Sans" w:eastAsia="Times New Roman" w:hAnsi="Open Sans" w:cs="Open Sans"/>
          <w:color w:val="0F0F0F"/>
          <w:lang w:eastAsia="en-GB"/>
        </w:rPr>
        <w:t>’</w:t>
      </w:r>
      <w:r w:rsidR="004A66AE" w:rsidRPr="00090759">
        <w:rPr>
          <w:rFonts w:ascii="Open Sans" w:eastAsia="Times New Roman" w:hAnsi="Open Sans" w:cs="Open Sans"/>
          <w:color w:val="0F0F0F"/>
          <w:lang w:eastAsia="en-GB"/>
        </w:rPr>
        <w:t xml:space="preserve">; </w:t>
      </w:r>
      <w:r w:rsidR="004A66AE" w:rsidRPr="00090759">
        <w:rPr>
          <w:rFonts w:ascii="Open Sans" w:eastAsia="Times New Roman" w:hAnsi="Open Sans" w:cs="Open Sans"/>
          <w:color w:val="0F0F0F"/>
          <w:lang w:eastAsia="en-GB"/>
        </w:rPr>
        <w:t xml:space="preserve">and discipline-specific courses </w:t>
      </w:r>
      <w:r w:rsidR="002867A6" w:rsidRPr="00090759">
        <w:rPr>
          <w:rFonts w:ascii="Open Sans" w:eastAsia="Times New Roman" w:hAnsi="Open Sans" w:cs="Open Sans"/>
          <w:color w:val="0F0F0F"/>
          <w:lang w:eastAsia="en-GB"/>
        </w:rPr>
        <w:t>like ‘</w:t>
      </w:r>
      <w:r w:rsidR="004A66AE" w:rsidRPr="00090759">
        <w:rPr>
          <w:rFonts w:ascii="Open Sans" w:eastAsia="Times New Roman" w:hAnsi="Open Sans" w:cs="Open Sans"/>
          <w:color w:val="0F0F0F"/>
          <w:lang w:eastAsia="en-GB"/>
        </w:rPr>
        <w:t>English for Political Sciences</w:t>
      </w:r>
      <w:r w:rsidR="002867A6" w:rsidRPr="00090759">
        <w:rPr>
          <w:rFonts w:ascii="Open Sans" w:eastAsia="Times New Roman" w:hAnsi="Open Sans" w:cs="Open Sans"/>
          <w:color w:val="0F0F0F"/>
          <w:lang w:eastAsia="en-GB"/>
        </w:rPr>
        <w:t>’</w:t>
      </w:r>
      <w:r w:rsidR="00657699" w:rsidRPr="00090759">
        <w:rPr>
          <w:rFonts w:ascii="Open Sans" w:eastAsia="Times New Roman" w:hAnsi="Open Sans" w:cs="Open Sans"/>
          <w:color w:val="0F0F0F"/>
          <w:lang w:eastAsia="en-GB"/>
        </w:rPr>
        <w:t xml:space="preserve"> </w:t>
      </w:r>
      <w:r w:rsidR="002867A6" w:rsidRPr="00090759">
        <w:rPr>
          <w:rFonts w:ascii="Open Sans" w:eastAsia="Times New Roman" w:hAnsi="Open Sans" w:cs="Open Sans"/>
          <w:color w:val="0F0F0F"/>
          <w:lang w:eastAsia="en-GB"/>
        </w:rPr>
        <w:t>and ‘E</w:t>
      </w:r>
      <w:r w:rsidR="004A66AE" w:rsidRPr="00090759">
        <w:rPr>
          <w:rFonts w:ascii="Open Sans" w:eastAsia="Times New Roman" w:hAnsi="Open Sans" w:cs="Open Sans"/>
          <w:color w:val="0F0F0F"/>
          <w:lang w:eastAsia="en-GB"/>
        </w:rPr>
        <w:t>nglish for Economics and Business</w:t>
      </w:r>
      <w:r w:rsidR="002867A6" w:rsidRPr="00090759">
        <w:rPr>
          <w:rFonts w:ascii="Open Sans" w:eastAsia="Times New Roman" w:hAnsi="Open Sans" w:cs="Open Sans"/>
          <w:color w:val="0F0F0F"/>
          <w:lang w:eastAsia="en-GB"/>
        </w:rPr>
        <w:t>’</w:t>
      </w:r>
      <w:r w:rsidR="004A66AE" w:rsidRPr="00090759">
        <w:rPr>
          <w:rFonts w:ascii="Open Sans" w:eastAsia="Times New Roman" w:hAnsi="Open Sans" w:cs="Open Sans"/>
          <w:color w:val="0F0F0F"/>
          <w:lang w:eastAsia="en-GB"/>
        </w:rPr>
        <w:t xml:space="preserve">. </w:t>
      </w:r>
      <w:r w:rsidR="00031ABF" w:rsidRPr="00090759">
        <w:rPr>
          <w:rFonts w:ascii="Open Sans" w:eastAsia="Times New Roman" w:hAnsi="Open Sans" w:cs="Open Sans"/>
          <w:color w:val="0F0F0F"/>
          <w:lang w:eastAsia="en-GB"/>
        </w:rPr>
        <w:t xml:space="preserve"> </w:t>
      </w:r>
      <w:r w:rsidR="00A651B7" w:rsidRPr="00090759">
        <w:rPr>
          <w:rFonts w:ascii="Open Sans" w:eastAsia="Times New Roman" w:hAnsi="Open Sans" w:cs="Open Sans"/>
          <w:color w:val="0F0F0F"/>
          <w:lang w:eastAsia="en-GB"/>
        </w:rPr>
        <w:t>The main problems with synthetic syllabuses, as outlined by Long et</w:t>
      </w:r>
      <w:r w:rsidR="001D752C">
        <w:rPr>
          <w:rFonts w:ascii="Open Sans" w:eastAsia="Times New Roman" w:hAnsi="Open Sans" w:cs="Open Sans"/>
          <w:color w:val="0F0F0F"/>
          <w:lang w:eastAsia="en-GB"/>
        </w:rPr>
        <w:t xml:space="preserve"> al.</w:t>
      </w:r>
      <w:r w:rsidR="00A651B7" w:rsidRPr="00090759">
        <w:rPr>
          <w:rFonts w:ascii="Open Sans" w:eastAsia="Times New Roman" w:hAnsi="Open Sans" w:cs="Open Sans"/>
          <w:color w:val="0F0F0F"/>
          <w:lang w:eastAsia="en-GB"/>
        </w:rPr>
        <w:t xml:space="preserve"> (2019: 502-507) are the ‘impoverished’ input, the problem of learnability (</w:t>
      </w:r>
      <w:r w:rsidR="002867A6" w:rsidRPr="00090759">
        <w:rPr>
          <w:rFonts w:ascii="Open Sans" w:eastAsia="Times New Roman" w:hAnsi="Open Sans" w:cs="Open Sans"/>
          <w:color w:val="0F0F0F"/>
          <w:lang w:eastAsia="en-GB"/>
        </w:rPr>
        <w:t>what is presented to the learner may not be ready to be ‘learned’ by the learner), the problem of the quantity of practice (often too little in a synthetic approach), and the problem of ‘purely intentional learning’ (</w:t>
      </w:r>
      <w:r w:rsidR="00AA58F2">
        <w:rPr>
          <w:rFonts w:ascii="Open Sans" w:eastAsia="Times New Roman" w:hAnsi="Open Sans" w:cs="Open Sans"/>
          <w:color w:val="0F0F0F"/>
          <w:lang w:eastAsia="en-GB"/>
        </w:rPr>
        <w:t xml:space="preserve">with </w:t>
      </w:r>
      <w:r w:rsidR="002867A6" w:rsidRPr="00090759">
        <w:rPr>
          <w:rFonts w:ascii="Open Sans" w:eastAsia="Times New Roman" w:hAnsi="Open Sans" w:cs="Open Sans"/>
          <w:color w:val="0F0F0F"/>
          <w:lang w:eastAsia="en-GB"/>
        </w:rPr>
        <w:t xml:space="preserve">the learner limited to merely explicit rather than implicit learning). </w:t>
      </w:r>
    </w:p>
    <w:p w14:paraId="0297BDB5" w14:textId="12558C1F" w:rsidR="007C7973" w:rsidRPr="00090759" w:rsidRDefault="007C7973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</w:p>
    <w:p w14:paraId="58091FAC" w14:textId="2566A9F6" w:rsidR="00A651B7" w:rsidRPr="00090759" w:rsidRDefault="00031ABF" w:rsidP="001D752C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Overall, </w:t>
      </w:r>
      <w:r w:rsidR="00AA58F2">
        <w:rPr>
          <w:rFonts w:ascii="Open Sans" w:eastAsia="Times New Roman" w:hAnsi="Open Sans" w:cs="Open Sans"/>
          <w:color w:val="0F0F0F"/>
          <w:lang w:eastAsia="en-GB"/>
        </w:rPr>
        <w:t xml:space="preserve">a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‘skill-building’ approach seems to dominate. 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If I run the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c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ourse catalogue through a concordance tool the word 'skills' occurs 34 times</w:t>
      </w:r>
      <w:r w:rsidR="004A66AE" w:rsidRPr="00090759">
        <w:rPr>
          <w:rFonts w:ascii="Open Sans" w:eastAsia="Times New Roman" w:hAnsi="Open Sans" w:cs="Open Sans"/>
          <w:color w:val="0F0F0F"/>
          <w:lang w:eastAsia="en-GB"/>
        </w:rPr>
        <w:t xml:space="preserve"> (see Appendix </w:t>
      </w:r>
      <w:r w:rsidR="001D752C">
        <w:rPr>
          <w:rFonts w:ascii="Open Sans" w:eastAsia="Times New Roman" w:hAnsi="Open Sans" w:cs="Open Sans"/>
          <w:color w:val="0F0F0F"/>
          <w:lang w:eastAsia="en-GB"/>
        </w:rPr>
        <w:t>I</w:t>
      </w:r>
      <w:r w:rsidR="004A66AE" w:rsidRPr="00090759">
        <w:rPr>
          <w:rFonts w:ascii="Open Sans" w:eastAsia="Times New Roman" w:hAnsi="Open Sans" w:cs="Open Sans"/>
          <w:color w:val="0F0F0F"/>
          <w:lang w:eastAsia="en-GB"/>
        </w:rPr>
        <w:t>)</w:t>
      </w:r>
      <w:r w:rsidR="00AA58F2">
        <w:rPr>
          <w:rFonts w:ascii="Open Sans" w:eastAsia="Times New Roman" w:hAnsi="Open Sans" w:cs="Open Sans"/>
          <w:color w:val="0F0F0F"/>
          <w:lang w:eastAsia="en-GB"/>
        </w:rPr>
        <w:t xml:space="preserve">; other high scoring words </w:t>
      </w:r>
      <w:r w:rsidR="004A66AE" w:rsidRPr="00090759">
        <w:rPr>
          <w:rFonts w:ascii="Open Sans" w:eastAsia="Times New Roman" w:hAnsi="Open Sans" w:cs="Open Sans"/>
          <w:color w:val="0F0F0F"/>
          <w:lang w:eastAsia="en-GB"/>
        </w:rPr>
        <w:t xml:space="preserve">include 'vocabulary' (20), 'grammar' (14), 'presentation/ presentations' (16/ 14 respectively), 'communication' (8), and 'task/ tasks' (2/2 respectively).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According to Long (2014: 8) </w:t>
      </w:r>
      <w:r w:rsidR="004A66AE" w:rsidRPr="00090759">
        <w:rPr>
          <w:rFonts w:ascii="Open Sans" w:eastAsia="Times New Roman" w:hAnsi="Open Sans" w:cs="Open Sans"/>
          <w:color w:val="0F0F0F"/>
          <w:lang w:eastAsia="en-GB"/>
        </w:rPr>
        <w:t>a skills-building approach</w:t>
      </w:r>
      <w:r w:rsidR="00AA58F2">
        <w:rPr>
          <w:rFonts w:ascii="Open Sans" w:eastAsia="Times New Roman" w:hAnsi="Open Sans" w:cs="Open Sans"/>
          <w:color w:val="0F0F0F"/>
          <w:lang w:eastAsia="en-GB"/>
        </w:rPr>
        <w:t xml:space="preserve"> </w:t>
      </w:r>
      <w:r w:rsidR="004A66AE" w:rsidRPr="00090759">
        <w:rPr>
          <w:rFonts w:ascii="Open Sans" w:eastAsia="Times New Roman" w:hAnsi="Open Sans" w:cs="Open Sans"/>
          <w:color w:val="0F0F0F"/>
          <w:lang w:eastAsia="en-GB"/>
        </w:rPr>
        <w:t xml:space="preserve">assumes that only children and young learners can learn a language implicitly. Adults therefore require explicit instruction (for example, in grammar) and large amounts of structured and controlled practice to convert ‘declarative’ into ‘procedural’ knowledge. Long argues that such a skills-building approach goes against what we know from decades of SLA research </w:t>
      </w:r>
      <w:r w:rsidR="00A651B7" w:rsidRPr="00090759">
        <w:rPr>
          <w:rFonts w:ascii="Arial" w:hAnsi="Arial" w:cs="Arial"/>
          <w:color w:val="4D5156"/>
          <w:shd w:val="clear" w:color="auto" w:fill="FFFFFF"/>
        </w:rPr>
        <w:t>–</w:t>
      </w:r>
      <w:r w:rsidR="001D752C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4A66AE" w:rsidRPr="00090759">
        <w:rPr>
          <w:rFonts w:ascii="Open Sans" w:eastAsia="Times New Roman" w:hAnsi="Open Sans" w:cs="Open Sans"/>
          <w:color w:val="0F0F0F"/>
          <w:lang w:eastAsia="en-GB"/>
        </w:rPr>
        <w:t xml:space="preserve">that language learning is largely implicit </w:t>
      </w:r>
      <w:r w:rsidR="00A651B7" w:rsidRPr="00090759">
        <w:rPr>
          <w:rFonts w:ascii="Arial" w:hAnsi="Arial" w:cs="Arial"/>
          <w:color w:val="4D5156"/>
          <w:shd w:val="clear" w:color="auto" w:fill="FFFFFF"/>
        </w:rPr>
        <w:t>–</w:t>
      </w:r>
      <w:r w:rsidR="004A66AE" w:rsidRPr="00090759">
        <w:rPr>
          <w:rFonts w:ascii="Open Sans" w:eastAsia="Times New Roman" w:hAnsi="Open Sans" w:cs="Open Sans"/>
          <w:color w:val="0F0F0F"/>
          <w:lang w:eastAsia="en-GB"/>
        </w:rPr>
        <w:t xml:space="preserve"> and that </w:t>
      </w:r>
      <w:r w:rsidR="001D752C">
        <w:rPr>
          <w:rFonts w:ascii="Open Sans" w:eastAsia="Times New Roman" w:hAnsi="Open Sans" w:cs="Open Sans"/>
          <w:color w:val="0F0F0F"/>
          <w:lang w:eastAsia="en-GB"/>
        </w:rPr>
        <w:t>such an approach</w:t>
      </w:r>
      <w:r w:rsidR="004A66AE" w:rsidRPr="00090759">
        <w:rPr>
          <w:rFonts w:ascii="Open Sans" w:eastAsia="Times New Roman" w:hAnsi="Open Sans" w:cs="Open Sans"/>
          <w:color w:val="0F0F0F"/>
          <w:lang w:eastAsia="en-GB"/>
        </w:rPr>
        <w:t xml:space="preserve"> is</w:t>
      </w:r>
      <w:r w:rsidR="001D752C">
        <w:rPr>
          <w:rFonts w:ascii="Open Sans" w:eastAsia="Times New Roman" w:hAnsi="Open Sans" w:cs="Open Sans"/>
          <w:color w:val="0F0F0F"/>
          <w:lang w:eastAsia="en-GB"/>
        </w:rPr>
        <w:t xml:space="preserve"> </w:t>
      </w:r>
      <w:r w:rsidR="004A66AE" w:rsidRPr="00090759">
        <w:rPr>
          <w:rFonts w:ascii="Open Sans" w:eastAsia="Times New Roman" w:hAnsi="Open Sans" w:cs="Open Sans"/>
          <w:color w:val="0F0F0F"/>
          <w:lang w:eastAsia="en-GB"/>
        </w:rPr>
        <w:t>‘psycholinguistically implausible’.</w:t>
      </w:r>
      <w:r w:rsidR="00A651B7" w:rsidRPr="00090759">
        <w:rPr>
          <w:rFonts w:ascii="Open Sans" w:eastAsia="Times New Roman" w:hAnsi="Open Sans" w:cs="Open Sans"/>
          <w:color w:val="0F0F0F"/>
          <w:lang w:eastAsia="en-GB"/>
        </w:rPr>
        <w:t xml:space="preserve"> </w:t>
      </w:r>
    </w:p>
    <w:p w14:paraId="63403D11" w14:textId="77777777" w:rsidR="002B73C6" w:rsidRPr="00090759" w:rsidRDefault="002B73C6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b/>
          <w:bCs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b/>
          <w:bCs/>
          <w:color w:val="0F0F0F"/>
          <w:lang w:eastAsia="en-GB"/>
        </w:rPr>
        <w:lastRenderedPageBreak/>
        <w:t>The support for TBLT in SLA research (include at least </w:t>
      </w:r>
      <w:r w:rsidRPr="00090759">
        <w:rPr>
          <w:rFonts w:ascii="Open Sans" w:eastAsia="Times New Roman" w:hAnsi="Open Sans" w:cs="Open Sans"/>
          <w:b/>
          <w:bCs/>
          <w:color w:val="0F0F0F"/>
          <w:bdr w:val="none" w:sz="0" w:space="0" w:color="auto" w:frame="1"/>
          <w:lang w:eastAsia="en-GB"/>
        </w:rPr>
        <w:t>two </w:t>
      </w:r>
      <w:r w:rsidRPr="00090759">
        <w:rPr>
          <w:rFonts w:ascii="Open Sans" w:eastAsia="Times New Roman" w:hAnsi="Open Sans" w:cs="Open Sans"/>
          <w:b/>
          <w:bCs/>
          <w:color w:val="0F0F0F"/>
          <w:lang w:eastAsia="en-GB"/>
        </w:rPr>
        <w:t>references)</w:t>
      </w:r>
    </w:p>
    <w:p w14:paraId="56939C0B" w14:textId="77777777" w:rsidR="002B73C6" w:rsidRPr="00090759" w:rsidRDefault="002B73C6" w:rsidP="00090759">
      <w:pPr>
        <w:spacing w:after="0" w:line="360" w:lineRule="atLeast"/>
        <w:ind w:left="720"/>
        <w:jc w:val="both"/>
        <w:textAlignment w:val="baseline"/>
        <w:rPr>
          <w:rFonts w:ascii="Open Sans" w:eastAsia="Times New Roman" w:hAnsi="Open Sans" w:cs="Open Sans"/>
          <w:b/>
          <w:bCs/>
          <w:color w:val="0F0F0F"/>
          <w:lang w:eastAsia="en-GB"/>
        </w:rPr>
      </w:pPr>
    </w:p>
    <w:p w14:paraId="5F354335" w14:textId="60C8F37D" w:rsidR="00E04475" w:rsidRPr="00090759" w:rsidRDefault="00E04475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color w:val="0F0F0F"/>
          <w:lang w:eastAsia="en-GB"/>
        </w:rPr>
        <w:t>Van den Branden (2006) reports successful use of TBLT to teach Dutch as a second language in Flanders, mainly to immigrant workers who settled there in the 60s, and particularly their children, who were found to be underachieving in school education.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Furthermore, </w:t>
      </w:r>
      <w:r w:rsidR="00090759" w:rsidRPr="00090759">
        <w:rPr>
          <w:rFonts w:ascii="Open Sans" w:eastAsia="Times New Roman" w:hAnsi="Open Sans" w:cs="Open Sans"/>
          <w:color w:val="0F0F0F"/>
          <w:lang w:eastAsia="en-GB"/>
        </w:rPr>
        <w:t>perhaps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the strongest </w:t>
      </w:r>
      <w:r w:rsidR="00090759" w:rsidRPr="00090759">
        <w:rPr>
          <w:rFonts w:ascii="Open Sans" w:eastAsia="Times New Roman" w:hAnsi="Open Sans" w:cs="Open Sans"/>
          <w:color w:val="0F0F0F"/>
          <w:lang w:eastAsia="en-GB"/>
        </w:rPr>
        <w:t xml:space="preserve">test of TBLTL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comes from countries where TBLT is assumed to be at odds with various cultural variables (</w:t>
      </w:r>
      <w:proofErr w:type="spellStart"/>
      <w:r w:rsidRPr="00090759">
        <w:rPr>
          <w:rFonts w:ascii="Open Sans" w:eastAsia="Times New Roman" w:hAnsi="Open Sans" w:cs="Open Sans"/>
          <w:color w:val="0F0F0F"/>
          <w:lang w:eastAsia="en-GB"/>
        </w:rPr>
        <w:t>eg</w:t>
      </w:r>
      <w:proofErr w:type="spellEnd"/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the prevalence of teacher-fronted classrooms) such as Japan. </w:t>
      </w:r>
      <w:r w:rsidR="00B13BE1">
        <w:rPr>
          <w:rFonts w:ascii="Open Sans" w:eastAsia="Times New Roman" w:hAnsi="Open Sans" w:cs="Open Sans"/>
          <w:color w:val="0F0F0F"/>
          <w:lang w:eastAsia="en-GB"/>
        </w:rPr>
        <w:t>Harris (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2018</w:t>
      </w:r>
      <w:r w:rsidR="00B13BE1">
        <w:rPr>
          <w:rFonts w:ascii="Open Sans" w:eastAsia="Times New Roman" w:hAnsi="Open Sans" w:cs="Open Sans"/>
          <w:color w:val="0F0F0F"/>
          <w:lang w:eastAsia="en-GB"/>
        </w:rPr>
        <w:t>: 146)</w:t>
      </w:r>
      <w:r w:rsidR="00AA58F2">
        <w:rPr>
          <w:rFonts w:ascii="Open Sans" w:eastAsia="Times New Roman" w:hAnsi="Open Sans" w:cs="Open Sans"/>
          <w:color w:val="0F0F0F"/>
          <w:lang w:eastAsia="en-GB"/>
        </w:rPr>
        <w:t xml:space="preserve">, in </w:t>
      </w:r>
      <w:r w:rsidR="00AA58F2" w:rsidRPr="00AA58F2">
        <w:rPr>
          <w:rFonts w:ascii="Open Sans" w:eastAsia="Times New Roman" w:hAnsi="Open Sans" w:cs="Open Sans"/>
          <w:color w:val="0F0F0F"/>
          <w:lang w:eastAsia="en-GB"/>
        </w:rPr>
        <w:t xml:space="preserve">a qualitative study of </w:t>
      </w:r>
      <w:r w:rsidR="00AA58F2">
        <w:rPr>
          <w:rFonts w:ascii="Open Sans" w:eastAsia="Times New Roman" w:hAnsi="Open Sans" w:cs="Open Sans"/>
          <w:color w:val="0F0F0F"/>
          <w:lang w:eastAsia="en-GB"/>
        </w:rPr>
        <w:t>ten</w:t>
      </w:r>
      <w:r w:rsidR="00AA58F2" w:rsidRPr="00AA58F2">
        <w:rPr>
          <w:rFonts w:ascii="Open Sans" w:eastAsia="Times New Roman" w:hAnsi="Open Sans" w:cs="Open Sans"/>
          <w:color w:val="0F0F0F"/>
          <w:lang w:eastAsia="en-GB"/>
        </w:rPr>
        <w:t xml:space="preserve"> in-service teachers in Japan using a task-based approach</w:t>
      </w:r>
      <w:r w:rsidR="00AA58F2">
        <w:rPr>
          <w:rFonts w:ascii="Open Sans" w:eastAsia="Times New Roman" w:hAnsi="Open Sans" w:cs="Open Sans"/>
          <w:color w:val="0F0F0F"/>
          <w:lang w:eastAsia="en-GB"/>
        </w:rPr>
        <w:t>,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found that TBLT</w:t>
      </w:r>
      <w:r w:rsidR="001D752C">
        <w:rPr>
          <w:rFonts w:ascii="Open Sans" w:eastAsia="Times New Roman" w:hAnsi="Open Sans" w:cs="Open Sans"/>
          <w:color w:val="0F0F0F"/>
          <w:lang w:eastAsia="en-GB"/>
        </w:rPr>
        <w:t xml:space="preserve"> </w:t>
      </w:r>
      <w:r w:rsidR="00090759" w:rsidRPr="00090759">
        <w:rPr>
          <w:rFonts w:ascii="Open Sans" w:eastAsia="Times New Roman" w:hAnsi="Open Sans" w:cs="Open Sans"/>
          <w:color w:val="0F0F0F"/>
          <w:lang w:eastAsia="en-GB"/>
        </w:rPr>
        <w:t>‘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engages students, allows them to develop their creativity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and autonomy, and frees them from constraints of the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“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one correct way</w:t>
      </w:r>
      <w:r w:rsidRPr="00090759">
        <w:rPr>
          <w:rFonts w:ascii="Arial" w:eastAsia="Times New Roman" w:hAnsi="Arial" w:cs="Arial"/>
          <w:color w:val="0F0F0F"/>
          <w:lang w:eastAsia="en-GB"/>
        </w:rPr>
        <w:t>‟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of using the L2 in language teaching</w:t>
      </w:r>
      <w:r w:rsidR="00090759" w:rsidRPr="00090759">
        <w:rPr>
          <w:rFonts w:ascii="Open Sans" w:eastAsia="Times New Roman" w:hAnsi="Open Sans" w:cs="Open Sans"/>
          <w:color w:val="0F0F0F"/>
          <w:lang w:eastAsia="en-GB"/>
        </w:rPr>
        <w:t>’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.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</w:t>
      </w:r>
    </w:p>
    <w:p w14:paraId="490DC335" w14:textId="3006A970" w:rsidR="00090759" w:rsidRPr="00090759" w:rsidRDefault="00090759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</w:p>
    <w:p w14:paraId="0A9EF7B8" w14:textId="6F6F2E6F" w:rsidR="00090759" w:rsidRDefault="00090759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Meta-analyses also strengthen the research base for TBLT. </w:t>
      </w:r>
      <w:proofErr w:type="spellStart"/>
      <w:r w:rsidRPr="00090759">
        <w:rPr>
          <w:rFonts w:ascii="Open Sans" w:eastAsia="Times New Roman" w:hAnsi="Open Sans" w:cs="Open Sans"/>
          <w:color w:val="0F0F0F"/>
          <w:lang w:eastAsia="en-GB"/>
        </w:rPr>
        <w:t>Bryfonsk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i</w:t>
      </w:r>
      <w:proofErr w:type="spellEnd"/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&amp; McKay (2019)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investigated the impact of TBLT over the long term, and found that ‘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program-wide implementation of TBLT is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effective for promoting L2 learning above and beyond the learning found in programs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with other, traditional or non-task-based pedagogies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’</w:t>
      </w:r>
      <w:r w:rsidR="001D752C">
        <w:rPr>
          <w:rFonts w:ascii="Open Sans" w:eastAsia="Times New Roman" w:hAnsi="Open Sans" w:cs="Open Sans"/>
          <w:color w:val="0F0F0F"/>
          <w:lang w:eastAsia="en-GB"/>
        </w:rPr>
        <w:t>.</w:t>
      </w:r>
    </w:p>
    <w:p w14:paraId="3FC46275" w14:textId="6C01E6FC" w:rsidR="001D752C" w:rsidRDefault="001D752C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</w:p>
    <w:p w14:paraId="20075280" w14:textId="4DA7B573" w:rsidR="001D752C" w:rsidRPr="00090759" w:rsidRDefault="001D752C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r>
        <w:rPr>
          <w:rFonts w:ascii="Open Sans" w:eastAsia="Times New Roman" w:hAnsi="Open Sans" w:cs="Open Sans"/>
          <w:color w:val="0F0F0F"/>
          <w:lang w:eastAsia="en-GB"/>
        </w:rPr>
        <w:t xml:space="preserve">As Long (2014: 29) points out, </w:t>
      </w:r>
      <w:r w:rsidR="00B13BE1">
        <w:rPr>
          <w:rFonts w:ascii="Open Sans" w:eastAsia="Times New Roman" w:hAnsi="Open Sans" w:cs="Open Sans"/>
          <w:color w:val="0F0F0F"/>
          <w:lang w:eastAsia="en-GB"/>
        </w:rPr>
        <w:t xml:space="preserve">the field of </w:t>
      </w:r>
      <w:r>
        <w:rPr>
          <w:rFonts w:ascii="Open Sans" w:eastAsia="Times New Roman" w:hAnsi="Open Sans" w:cs="Open Sans"/>
          <w:color w:val="0F0F0F"/>
          <w:lang w:eastAsia="en-GB"/>
        </w:rPr>
        <w:t xml:space="preserve">SLA </w:t>
      </w:r>
      <w:r w:rsidR="00B13BE1">
        <w:rPr>
          <w:rFonts w:ascii="Open Sans" w:eastAsia="Times New Roman" w:hAnsi="Open Sans" w:cs="Open Sans"/>
          <w:color w:val="0F0F0F"/>
          <w:lang w:eastAsia="en-GB"/>
        </w:rPr>
        <w:t xml:space="preserve">itself </w:t>
      </w:r>
      <w:r>
        <w:rPr>
          <w:rFonts w:ascii="Open Sans" w:eastAsia="Times New Roman" w:hAnsi="Open Sans" w:cs="Open Sans"/>
          <w:color w:val="0F0F0F"/>
          <w:lang w:eastAsia="en-GB"/>
        </w:rPr>
        <w:t>is characterised by ‘theoretical disunity’ due to innumerable prominent research traditions operating at a high level of abstraction; and therefore a theory of ISLA (instructed second language acquisition) might be more attainable</w:t>
      </w:r>
      <w:r w:rsidR="00061314">
        <w:rPr>
          <w:rFonts w:ascii="Open Sans" w:eastAsia="Times New Roman" w:hAnsi="Open Sans" w:cs="Open Sans"/>
          <w:color w:val="0F0F0F"/>
          <w:lang w:eastAsia="en-GB"/>
        </w:rPr>
        <w:t>, useful, and practical</w:t>
      </w:r>
      <w:r>
        <w:rPr>
          <w:rFonts w:ascii="Open Sans" w:eastAsia="Times New Roman" w:hAnsi="Open Sans" w:cs="Open Sans"/>
          <w:color w:val="0F0F0F"/>
          <w:lang w:eastAsia="en-GB"/>
        </w:rPr>
        <w:t>.</w:t>
      </w:r>
    </w:p>
    <w:p w14:paraId="650760B1" w14:textId="77777777" w:rsidR="002867A6" w:rsidRPr="00090759" w:rsidRDefault="002867A6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</w:p>
    <w:p w14:paraId="3273AA84" w14:textId="0CB655E5" w:rsidR="002B73C6" w:rsidRPr="00090759" w:rsidRDefault="002B73C6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b/>
          <w:bCs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b/>
          <w:bCs/>
          <w:color w:val="0F0F0F"/>
          <w:lang w:eastAsia="en-GB"/>
        </w:rPr>
        <w:t>A brief outline of your proposed course</w:t>
      </w:r>
    </w:p>
    <w:p w14:paraId="4A09F447" w14:textId="7AED2992" w:rsidR="00C779FF" w:rsidRPr="00090759" w:rsidRDefault="00C779FF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b/>
          <w:bCs/>
          <w:color w:val="0F0F0F"/>
          <w:lang w:eastAsia="en-GB"/>
        </w:rPr>
      </w:pPr>
    </w:p>
    <w:p w14:paraId="7760C7D0" w14:textId="4F290BEC" w:rsidR="00C779FF" w:rsidRPr="00061314" w:rsidRDefault="00C779FF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My proposed course is called </w:t>
      </w:r>
      <w:r w:rsidRPr="00090759">
        <w:rPr>
          <w:rFonts w:ascii="Open Sans" w:eastAsia="Times New Roman" w:hAnsi="Open Sans" w:cs="Open Sans"/>
          <w:i/>
          <w:iCs/>
          <w:color w:val="0F0F0F"/>
          <w:lang w:eastAsia="en-GB"/>
        </w:rPr>
        <w:t>Student Journal</w:t>
      </w:r>
      <w:r w:rsidR="001D752C">
        <w:rPr>
          <w:rFonts w:ascii="Open Sans" w:eastAsia="Times New Roman" w:hAnsi="Open Sans" w:cs="Open Sans"/>
          <w:i/>
          <w:iCs/>
          <w:color w:val="0F0F0F"/>
          <w:lang w:eastAsia="en-GB"/>
        </w:rPr>
        <w:t xml:space="preserve">: Learn Academic English by </w:t>
      </w:r>
      <w:r w:rsidR="008B011F">
        <w:rPr>
          <w:rFonts w:ascii="Open Sans" w:eastAsia="Times New Roman" w:hAnsi="Open Sans" w:cs="Open Sans"/>
          <w:i/>
          <w:iCs/>
          <w:color w:val="0F0F0F"/>
          <w:lang w:eastAsia="en-GB"/>
        </w:rPr>
        <w:t>creating</w:t>
      </w:r>
      <w:r w:rsidR="001D752C">
        <w:rPr>
          <w:rFonts w:ascii="Open Sans" w:eastAsia="Times New Roman" w:hAnsi="Open Sans" w:cs="Open Sans"/>
          <w:i/>
          <w:iCs/>
          <w:color w:val="0F0F0F"/>
          <w:lang w:eastAsia="en-GB"/>
        </w:rPr>
        <w:t xml:space="preserve"> an undergraduate journal</w:t>
      </w:r>
      <w:r w:rsidRPr="00090759">
        <w:rPr>
          <w:rFonts w:ascii="Open Sans" w:eastAsia="Times New Roman" w:hAnsi="Open Sans" w:cs="Open Sans"/>
          <w:i/>
          <w:iCs/>
          <w:color w:val="0F0F0F"/>
          <w:lang w:eastAsia="en-GB"/>
        </w:rPr>
        <w:t xml:space="preserve">.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This will be a </w:t>
      </w:r>
      <w:r w:rsidR="00061314">
        <w:rPr>
          <w:rFonts w:ascii="Open Sans" w:eastAsia="Times New Roman" w:hAnsi="Open Sans" w:cs="Open Sans"/>
          <w:color w:val="0F0F0F"/>
          <w:lang w:eastAsia="en-GB"/>
        </w:rPr>
        <w:t xml:space="preserve">15-week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task-based course for social science and humanities students (who provide the bulk of our learners at the Language Centre) in which they will produce their own </w:t>
      </w:r>
      <w:r w:rsidR="001D752C">
        <w:rPr>
          <w:rFonts w:ascii="Open Sans" w:eastAsia="Times New Roman" w:hAnsi="Open Sans" w:cs="Open Sans"/>
          <w:color w:val="0F0F0F"/>
          <w:lang w:eastAsia="en-GB"/>
        </w:rPr>
        <w:t>peer-reviewed</w:t>
      </w:r>
      <w:r w:rsidR="00D002FC">
        <w:rPr>
          <w:rFonts w:ascii="Open Sans" w:eastAsia="Times New Roman" w:hAnsi="Open Sans" w:cs="Open Sans"/>
          <w:color w:val="0F0F0F"/>
          <w:lang w:eastAsia="en-GB"/>
        </w:rPr>
        <w:t xml:space="preserve"> academic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journal. The students will work in groups to co-ordinate all stages of production of the journal (</w:t>
      </w:r>
      <w:r w:rsidR="00061314">
        <w:rPr>
          <w:rFonts w:ascii="Open Sans" w:eastAsia="Times New Roman" w:hAnsi="Open Sans" w:cs="Open Sans"/>
          <w:color w:val="0F0F0F"/>
          <w:lang w:eastAsia="en-GB"/>
        </w:rPr>
        <w:t xml:space="preserve">set up, production, distribution, and marketing) and there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should be a final product (the journal itself, perhaps in online form with the first iteration) at the end</w:t>
      </w:r>
      <w:r w:rsidR="00061314">
        <w:rPr>
          <w:rFonts w:ascii="Open Sans" w:eastAsia="Times New Roman" w:hAnsi="Open Sans" w:cs="Open Sans"/>
          <w:color w:val="0F0F0F"/>
          <w:lang w:eastAsia="en-GB"/>
        </w:rPr>
        <w:t xml:space="preserve">. Most importantly, learners will work through some of the key processes and </w:t>
      </w:r>
      <w:r w:rsidR="00061314">
        <w:rPr>
          <w:rFonts w:ascii="Open Sans" w:eastAsia="Times New Roman" w:hAnsi="Open Sans" w:cs="Open Sans"/>
          <w:i/>
          <w:iCs/>
          <w:color w:val="0F0F0F"/>
          <w:lang w:eastAsia="en-GB"/>
        </w:rPr>
        <w:t>tasks</w:t>
      </w:r>
      <w:r w:rsidR="00061314">
        <w:rPr>
          <w:rFonts w:ascii="Open Sans" w:eastAsia="Times New Roman" w:hAnsi="Open Sans" w:cs="Open Sans"/>
          <w:color w:val="0F0F0F"/>
          <w:lang w:eastAsia="en-GB"/>
        </w:rPr>
        <w:t xml:space="preserve"> involved in publishing a journal such as ‘making submissions’ and </w:t>
      </w:r>
      <w:r w:rsidR="00B13BE1">
        <w:rPr>
          <w:rFonts w:ascii="Open Sans" w:eastAsia="Times New Roman" w:hAnsi="Open Sans" w:cs="Open Sans"/>
          <w:color w:val="0F0F0F"/>
          <w:lang w:eastAsia="en-GB"/>
        </w:rPr>
        <w:t>‘</w:t>
      </w:r>
      <w:r w:rsidR="00061314">
        <w:rPr>
          <w:rFonts w:ascii="Open Sans" w:eastAsia="Times New Roman" w:hAnsi="Open Sans" w:cs="Open Sans"/>
          <w:color w:val="0F0F0F"/>
          <w:lang w:eastAsia="en-GB"/>
        </w:rPr>
        <w:t>managing peer review’. Assessment could involve benchmarks set by the learners themselves early on in the course</w:t>
      </w:r>
      <w:r w:rsidR="00B13BE1">
        <w:rPr>
          <w:rFonts w:ascii="Open Sans" w:eastAsia="Times New Roman" w:hAnsi="Open Sans" w:cs="Open Sans"/>
          <w:color w:val="0F0F0F"/>
          <w:lang w:eastAsia="en-GB"/>
        </w:rPr>
        <w:t>, as well as some core criteria set by myself (</w:t>
      </w:r>
      <w:proofErr w:type="spellStart"/>
      <w:r w:rsidR="00B13BE1">
        <w:rPr>
          <w:rFonts w:ascii="Open Sans" w:eastAsia="Times New Roman" w:hAnsi="Open Sans" w:cs="Open Sans"/>
          <w:color w:val="0F0F0F"/>
          <w:lang w:eastAsia="en-GB"/>
        </w:rPr>
        <w:t>eg</w:t>
      </w:r>
      <w:proofErr w:type="spellEnd"/>
      <w:r w:rsidR="00B13BE1">
        <w:rPr>
          <w:rFonts w:ascii="Open Sans" w:eastAsia="Times New Roman" w:hAnsi="Open Sans" w:cs="Open Sans"/>
          <w:color w:val="0F0F0F"/>
          <w:lang w:eastAsia="en-GB"/>
        </w:rPr>
        <w:t xml:space="preserve"> quality of the final product).</w:t>
      </w:r>
    </w:p>
    <w:p w14:paraId="16FAB395" w14:textId="77777777" w:rsidR="002B73C6" w:rsidRPr="00090759" w:rsidRDefault="002B73C6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b/>
          <w:bCs/>
          <w:color w:val="0F0F0F"/>
          <w:lang w:eastAsia="en-GB"/>
        </w:rPr>
      </w:pPr>
    </w:p>
    <w:p w14:paraId="1A614EAA" w14:textId="5367BC7F" w:rsidR="002B73C6" w:rsidRPr="00090759" w:rsidRDefault="002B73C6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b/>
          <w:bCs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b/>
          <w:bCs/>
          <w:color w:val="0F0F0F"/>
          <w:lang w:eastAsia="en-GB"/>
        </w:rPr>
        <w:t>The advantages (and potential challenges) for students and teachers</w:t>
      </w:r>
    </w:p>
    <w:p w14:paraId="4DB7329F" w14:textId="081DD97A" w:rsidR="00C779FF" w:rsidRPr="00090759" w:rsidRDefault="00C779FF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b/>
          <w:bCs/>
          <w:color w:val="0F0F0F"/>
          <w:lang w:eastAsia="en-GB"/>
        </w:rPr>
      </w:pPr>
    </w:p>
    <w:p w14:paraId="7C2CDD61" w14:textId="1F8EFCDA" w:rsidR="00C779FF" w:rsidRPr="00090759" w:rsidRDefault="00B13BE1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r>
        <w:rPr>
          <w:rFonts w:ascii="Open Sans" w:eastAsia="Times New Roman" w:hAnsi="Open Sans" w:cs="Open Sans"/>
          <w:color w:val="0F0F0F"/>
          <w:lang w:eastAsia="en-GB"/>
        </w:rPr>
        <w:t>The course</w:t>
      </w:r>
      <w:r w:rsidR="00C779FF" w:rsidRPr="00090759">
        <w:rPr>
          <w:rFonts w:ascii="Open Sans" w:eastAsia="Times New Roman" w:hAnsi="Open Sans" w:cs="Open Sans"/>
          <w:color w:val="0F0F0F"/>
          <w:lang w:eastAsia="en-GB"/>
        </w:rPr>
        <w:t xml:space="preserve"> will probably require an ‘online’ needs analysis; that is, an intense period of needs analysis at the start of each course </w:t>
      </w:r>
      <w:r w:rsidR="00061314">
        <w:rPr>
          <w:rFonts w:ascii="Open Sans" w:eastAsia="Times New Roman" w:hAnsi="Open Sans" w:cs="Open Sans"/>
          <w:color w:val="0F0F0F"/>
          <w:lang w:eastAsia="en-GB"/>
        </w:rPr>
        <w:t xml:space="preserve">to determine topic areas of interest and </w:t>
      </w:r>
      <w:r w:rsidR="00061314">
        <w:rPr>
          <w:rFonts w:ascii="Open Sans" w:eastAsia="Times New Roman" w:hAnsi="Open Sans" w:cs="Open Sans"/>
          <w:color w:val="0F0F0F"/>
          <w:lang w:eastAsia="en-GB"/>
        </w:rPr>
        <w:lastRenderedPageBreak/>
        <w:t xml:space="preserve">expertise within the group </w:t>
      </w:r>
      <w:r w:rsidR="00C779FF" w:rsidRPr="00090759">
        <w:rPr>
          <w:rFonts w:ascii="Open Sans" w:eastAsia="Times New Roman" w:hAnsi="Open Sans" w:cs="Open Sans"/>
          <w:color w:val="0F0F0F"/>
          <w:lang w:eastAsia="en-GB"/>
        </w:rPr>
        <w:t xml:space="preserve">– though with repeated iterations the need for such intensive analysis should decrease somewhat. </w:t>
      </w:r>
      <w:r w:rsidR="00061314">
        <w:rPr>
          <w:rFonts w:ascii="Open Sans" w:eastAsia="Times New Roman" w:hAnsi="Open Sans" w:cs="Open Sans"/>
          <w:color w:val="0F0F0F"/>
          <w:lang w:eastAsia="en-GB"/>
        </w:rPr>
        <w:t>Another challenge is to provide some kind of structure to the course, both for myself and the learners</w:t>
      </w:r>
      <w:r>
        <w:rPr>
          <w:rFonts w:ascii="Open Sans" w:eastAsia="Times New Roman" w:hAnsi="Open Sans" w:cs="Open Sans"/>
          <w:color w:val="0F0F0F"/>
          <w:lang w:eastAsia="en-GB"/>
        </w:rPr>
        <w:t>, as I’ve found it’s often difficult to maintain student motivation over a semester without a clearly structured syllabus</w:t>
      </w:r>
      <w:r w:rsidR="00D002FC">
        <w:rPr>
          <w:rFonts w:ascii="Open Sans" w:eastAsia="Times New Roman" w:hAnsi="Open Sans" w:cs="Open Sans"/>
          <w:color w:val="0F0F0F"/>
          <w:lang w:eastAsia="en-GB"/>
        </w:rPr>
        <w:t xml:space="preserve"> or course plan</w:t>
      </w:r>
      <w:r>
        <w:rPr>
          <w:rFonts w:ascii="Open Sans" w:eastAsia="Times New Roman" w:hAnsi="Open Sans" w:cs="Open Sans"/>
          <w:color w:val="0F0F0F"/>
          <w:lang w:eastAsia="en-GB"/>
        </w:rPr>
        <w:t xml:space="preserve">. The advantage would be that students would gain in language ability through participating in a series of real-world tasks with a clear aim, and one that is </w:t>
      </w:r>
      <w:r w:rsidR="00D002FC">
        <w:rPr>
          <w:rFonts w:ascii="Open Sans" w:eastAsia="Times New Roman" w:hAnsi="Open Sans" w:cs="Open Sans"/>
          <w:color w:val="0F0F0F"/>
          <w:lang w:eastAsia="en-GB"/>
        </w:rPr>
        <w:t xml:space="preserve">more </w:t>
      </w:r>
      <w:r>
        <w:rPr>
          <w:rFonts w:ascii="Open Sans" w:eastAsia="Times New Roman" w:hAnsi="Open Sans" w:cs="Open Sans"/>
          <w:color w:val="0F0F0F"/>
          <w:lang w:eastAsia="en-GB"/>
        </w:rPr>
        <w:t>relevant to both their chosen discipline and their career goals.</w:t>
      </w:r>
    </w:p>
    <w:p w14:paraId="61B9B260" w14:textId="2BFCF09B" w:rsidR="00C779FF" w:rsidRPr="00090759" w:rsidRDefault="00C779FF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</w:p>
    <w:p w14:paraId="21A73B15" w14:textId="1C65DFD5" w:rsidR="00C779FF" w:rsidRPr="00090759" w:rsidRDefault="00C779FF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One definite challenge is that higher level students (C2) tend to sign up for courses later </w:t>
      </w:r>
      <w:r w:rsidR="00061314">
        <w:rPr>
          <w:rFonts w:ascii="Open Sans" w:eastAsia="Times New Roman" w:hAnsi="Open Sans" w:cs="Open Sans"/>
          <w:color w:val="0F0F0F"/>
          <w:lang w:eastAsia="en-GB"/>
        </w:rPr>
        <w:t>than other students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(</w:t>
      </w:r>
      <w:r w:rsidR="00061314">
        <w:rPr>
          <w:rFonts w:ascii="Open Sans" w:eastAsia="Times New Roman" w:hAnsi="Open Sans" w:cs="Open Sans"/>
          <w:color w:val="0F0F0F"/>
          <w:lang w:eastAsia="en-GB"/>
        </w:rPr>
        <w:t xml:space="preserve">though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we’re never very sure why this is)</w:t>
      </w:r>
      <w:r w:rsidR="00657699" w:rsidRPr="00090759">
        <w:rPr>
          <w:rFonts w:ascii="Open Sans" w:eastAsia="Times New Roman" w:hAnsi="Open Sans" w:cs="Open Sans"/>
          <w:color w:val="0F0F0F"/>
          <w:lang w:eastAsia="en-GB"/>
        </w:rPr>
        <w:t>, so I will try to get this course offered to C1 students</w:t>
      </w:r>
      <w:r w:rsidR="00061314">
        <w:rPr>
          <w:rFonts w:ascii="Open Sans" w:eastAsia="Times New Roman" w:hAnsi="Open Sans" w:cs="Open Sans"/>
          <w:color w:val="0F0F0F"/>
          <w:lang w:eastAsia="en-GB"/>
        </w:rPr>
        <w:t xml:space="preserve">. </w:t>
      </w:r>
      <w:r w:rsidR="008B011F">
        <w:rPr>
          <w:rFonts w:ascii="Open Sans" w:eastAsia="Times New Roman" w:hAnsi="Open Sans" w:cs="Open Sans"/>
          <w:color w:val="0F0F0F"/>
          <w:lang w:eastAsia="en-GB"/>
        </w:rPr>
        <w:t>The problem is that i</w:t>
      </w:r>
      <w:r w:rsidR="00B13BE1">
        <w:rPr>
          <w:rFonts w:ascii="Open Sans" w:eastAsia="Times New Roman" w:hAnsi="Open Sans" w:cs="Open Sans"/>
          <w:color w:val="0F0F0F"/>
          <w:lang w:eastAsia="en-GB"/>
        </w:rPr>
        <w:t>f this course is aimed</w:t>
      </w:r>
      <w:r w:rsidR="008B011F">
        <w:rPr>
          <w:rFonts w:ascii="Open Sans" w:eastAsia="Times New Roman" w:hAnsi="Open Sans" w:cs="Open Sans"/>
          <w:color w:val="0F0F0F"/>
          <w:lang w:eastAsia="en-GB"/>
        </w:rPr>
        <w:t xml:space="preserve"> purely</w:t>
      </w:r>
      <w:r w:rsidR="00B13BE1">
        <w:rPr>
          <w:rFonts w:ascii="Open Sans" w:eastAsia="Times New Roman" w:hAnsi="Open Sans" w:cs="Open Sans"/>
          <w:color w:val="0F0F0F"/>
          <w:lang w:eastAsia="en-GB"/>
        </w:rPr>
        <w:t xml:space="preserve"> at</w:t>
      </w:r>
      <w:r w:rsidR="00061314">
        <w:rPr>
          <w:rFonts w:ascii="Open Sans" w:eastAsia="Times New Roman" w:hAnsi="Open Sans" w:cs="Open Sans"/>
          <w:color w:val="0F0F0F"/>
          <w:lang w:eastAsia="en-GB"/>
        </w:rPr>
        <w:t xml:space="preserve"> C2 level students </w:t>
      </w:r>
      <w:r w:rsidR="00B13BE1">
        <w:rPr>
          <w:rFonts w:ascii="Open Sans" w:eastAsia="Times New Roman" w:hAnsi="Open Sans" w:cs="Open Sans"/>
          <w:color w:val="0F0F0F"/>
          <w:lang w:eastAsia="en-GB"/>
        </w:rPr>
        <w:t xml:space="preserve">(who are </w:t>
      </w:r>
      <w:r w:rsidR="00061314">
        <w:rPr>
          <w:rFonts w:ascii="Open Sans" w:eastAsia="Times New Roman" w:hAnsi="Open Sans" w:cs="Open Sans"/>
          <w:color w:val="0F0F0F"/>
          <w:lang w:eastAsia="en-GB"/>
        </w:rPr>
        <w:t xml:space="preserve">usually MA or PhD students) I’m not sure this course will gain enough </w:t>
      </w:r>
      <w:r w:rsidR="00B13BE1">
        <w:rPr>
          <w:rFonts w:ascii="Open Sans" w:eastAsia="Times New Roman" w:hAnsi="Open Sans" w:cs="Open Sans"/>
          <w:color w:val="0F0F0F"/>
          <w:lang w:eastAsia="en-GB"/>
        </w:rPr>
        <w:t>participants</w:t>
      </w:r>
      <w:r w:rsidR="00061314">
        <w:rPr>
          <w:rFonts w:ascii="Open Sans" w:eastAsia="Times New Roman" w:hAnsi="Open Sans" w:cs="Open Sans"/>
          <w:color w:val="0F0F0F"/>
          <w:lang w:eastAsia="en-GB"/>
        </w:rPr>
        <w:t xml:space="preserve"> to run.</w:t>
      </w:r>
    </w:p>
    <w:p w14:paraId="5AC7E0BE" w14:textId="77777777" w:rsidR="002B73C6" w:rsidRPr="00090759" w:rsidRDefault="002B73C6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b/>
          <w:bCs/>
          <w:color w:val="0F0F0F"/>
          <w:lang w:eastAsia="en-GB"/>
        </w:rPr>
      </w:pPr>
    </w:p>
    <w:p w14:paraId="253688D1" w14:textId="42ABA976" w:rsidR="002B73C6" w:rsidRPr="00090759" w:rsidRDefault="002B73C6" w:rsidP="00090759">
      <w:pPr>
        <w:spacing w:after="0" w:line="360" w:lineRule="atLeast"/>
        <w:jc w:val="both"/>
        <w:textAlignment w:val="baseline"/>
        <w:rPr>
          <w:rFonts w:ascii="Open Sans" w:eastAsia="Times New Roman" w:hAnsi="Open Sans" w:cs="Open Sans"/>
          <w:b/>
          <w:bCs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b/>
          <w:bCs/>
          <w:color w:val="0F0F0F"/>
          <w:lang w:eastAsia="en-GB"/>
        </w:rPr>
        <w:t>The overall process involved in the implementation and how the institution should approach this</w:t>
      </w:r>
    </w:p>
    <w:p w14:paraId="1F93389C" w14:textId="4B86F862" w:rsidR="00B13BE1" w:rsidRDefault="00657699" w:rsidP="00090759">
      <w:pPr>
        <w:spacing w:after="330" w:line="42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color w:val="0F0F0F"/>
          <w:lang w:eastAsia="en-GB"/>
        </w:rPr>
        <w:t>One of the co-ordinators of the Language Centre did their Master’s thesis on TBLT so they have some knowledge of the theor</w:t>
      </w:r>
      <w:r w:rsidR="00061314">
        <w:rPr>
          <w:rFonts w:ascii="Open Sans" w:eastAsia="Times New Roman" w:hAnsi="Open Sans" w:cs="Open Sans"/>
          <w:color w:val="0F0F0F"/>
          <w:lang w:eastAsia="en-GB"/>
        </w:rPr>
        <w:t>y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and practice involved. It might be a good idea for me to work with this person for support over the length of the project’s implementation</w:t>
      </w:r>
      <w:r w:rsidR="00061314">
        <w:rPr>
          <w:rFonts w:ascii="Open Sans" w:eastAsia="Times New Roman" w:hAnsi="Open Sans" w:cs="Open Sans"/>
          <w:color w:val="0F0F0F"/>
          <w:lang w:eastAsia="en-GB"/>
        </w:rPr>
        <w:t xml:space="preserve">, attempt to produce some kind of documentation </w:t>
      </w:r>
      <w:r w:rsidR="008B011F">
        <w:rPr>
          <w:rFonts w:ascii="Open Sans" w:eastAsia="Times New Roman" w:hAnsi="Open Sans" w:cs="Open Sans"/>
          <w:color w:val="0F0F0F"/>
          <w:lang w:eastAsia="en-GB"/>
        </w:rPr>
        <w:t xml:space="preserve">as </w:t>
      </w:r>
      <w:r w:rsidR="00061314">
        <w:rPr>
          <w:rFonts w:ascii="Open Sans" w:eastAsia="Times New Roman" w:hAnsi="Open Sans" w:cs="Open Sans"/>
          <w:color w:val="0F0F0F"/>
          <w:lang w:eastAsia="en-GB"/>
        </w:rPr>
        <w:t xml:space="preserve">the </w:t>
      </w:r>
      <w:r w:rsidR="008B011F">
        <w:rPr>
          <w:rFonts w:ascii="Open Sans" w:eastAsia="Times New Roman" w:hAnsi="Open Sans" w:cs="Open Sans"/>
          <w:color w:val="0F0F0F"/>
          <w:lang w:eastAsia="en-GB"/>
        </w:rPr>
        <w:t xml:space="preserve">course </w:t>
      </w:r>
      <w:r w:rsidR="00061314">
        <w:rPr>
          <w:rFonts w:ascii="Open Sans" w:eastAsia="Times New Roman" w:hAnsi="Open Sans" w:cs="Open Sans"/>
          <w:color w:val="0F0F0F"/>
          <w:lang w:eastAsia="en-GB"/>
        </w:rPr>
        <w:t>proceeds</w:t>
      </w:r>
      <w:r w:rsidR="008B011F">
        <w:rPr>
          <w:rFonts w:ascii="Open Sans" w:eastAsia="Times New Roman" w:hAnsi="Open Sans" w:cs="Open Sans"/>
          <w:color w:val="0F0F0F"/>
          <w:lang w:eastAsia="en-GB"/>
        </w:rPr>
        <w:t>, and some evidence of its results and conclusion.</w:t>
      </w:r>
    </w:p>
    <w:p w14:paraId="5326C56E" w14:textId="589B3CC4" w:rsidR="00B13BE1" w:rsidRPr="00090759" w:rsidRDefault="00B13BE1" w:rsidP="00090759">
      <w:pPr>
        <w:spacing w:after="330" w:line="42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r>
        <w:rPr>
          <w:rFonts w:ascii="Open Sans" w:eastAsia="Times New Roman" w:hAnsi="Open Sans" w:cs="Open Sans"/>
          <w:color w:val="0F0F0F"/>
          <w:lang w:eastAsia="en-GB"/>
        </w:rPr>
        <w:t>I need to provide a ‘blurb’ for the course catalogue for any new courses in summer semester 2021. And one more thing – I need to have a job! I’m still not sure whether I’ll be kept on at the university</w:t>
      </w:r>
      <w:r w:rsidR="008B011F">
        <w:rPr>
          <w:rFonts w:ascii="Open Sans" w:eastAsia="Times New Roman" w:hAnsi="Open Sans" w:cs="Open Sans"/>
          <w:color w:val="0F0F0F"/>
          <w:lang w:eastAsia="en-GB"/>
        </w:rPr>
        <w:t xml:space="preserve"> beyond Christmas</w:t>
      </w:r>
      <w:r>
        <w:rPr>
          <w:rFonts w:ascii="Open Sans" w:eastAsia="Times New Roman" w:hAnsi="Open Sans" w:cs="Open Sans"/>
          <w:color w:val="0F0F0F"/>
          <w:lang w:eastAsia="en-GB"/>
        </w:rPr>
        <w:t>. I should find out this week.</w:t>
      </w:r>
    </w:p>
    <w:p w14:paraId="14DC20BE" w14:textId="5BE0CE12" w:rsidR="002B73C6" w:rsidRPr="00090759" w:rsidRDefault="002B73C6" w:rsidP="00090759">
      <w:pPr>
        <w:spacing w:after="330" w:line="42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</w:p>
    <w:p w14:paraId="5A4E7974" w14:textId="2EC6F7F3" w:rsidR="002B73C6" w:rsidRPr="00090759" w:rsidRDefault="002B73C6" w:rsidP="00090759">
      <w:pPr>
        <w:spacing w:after="330" w:line="420" w:lineRule="atLeast"/>
        <w:jc w:val="both"/>
        <w:textAlignment w:val="baseline"/>
        <w:rPr>
          <w:rFonts w:ascii="Open Sans" w:eastAsia="Times New Roman" w:hAnsi="Open Sans" w:cs="Open Sans"/>
          <w:b/>
          <w:bCs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b/>
          <w:bCs/>
          <w:color w:val="0F0F0F"/>
          <w:lang w:eastAsia="en-GB"/>
        </w:rPr>
        <w:t>References</w:t>
      </w:r>
    </w:p>
    <w:p w14:paraId="2222E50B" w14:textId="7C06AB1E" w:rsidR="00090759" w:rsidRPr="00090759" w:rsidRDefault="00090759" w:rsidP="00090759">
      <w:pPr>
        <w:spacing w:after="330" w:line="42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proofErr w:type="spellStart"/>
      <w:r w:rsidRPr="00090759">
        <w:rPr>
          <w:rFonts w:ascii="Open Sans" w:eastAsia="Times New Roman" w:hAnsi="Open Sans" w:cs="Open Sans"/>
          <w:color w:val="0F0F0F"/>
          <w:lang w:eastAsia="en-GB"/>
        </w:rPr>
        <w:t>Bryfonski</w:t>
      </w:r>
      <w:proofErr w:type="spellEnd"/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, L., &amp; McKay, T. H. (2019). TBLT implementation and evaluation: A meta-analysis. </w:t>
      </w:r>
      <w:r w:rsidRPr="00090759">
        <w:rPr>
          <w:rFonts w:ascii="Open Sans" w:eastAsia="Times New Roman" w:hAnsi="Open Sans" w:cs="Open Sans"/>
          <w:i/>
          <w:iCs/>
          <w:color w:val="0F0F0F"/>
          <w:lang w:eastAsia="en-GB"/>
        </w:rPr>
        <w:t>Language Teaching Research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, 23(5), 603-632.</w:t>
      </w:r>
    </w:p>
    <w:p w14:paraId="3EACC760" w14:textId="78BBD6D2" w:rsidR="00E04475" w:rsidRPr="00090759" w:rsidRDefault="00E04475" w:rsidP="00090759">
      <w:pPr>
        <w:spacing w:after="330" w:line="42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Harris, J. (2018). Responding to the critics: Implementation of TBLT in Japan. </w:t>
      </w:r>
      <w:r w:rsidRPr="00090759">
        <w:rPr>
          <w:rFonts w:ascii="Open Sans" w:eastAsia="Times New Roman" w:hAnsi="Open Sans" w:cs="Open Sans"/>
          <w:i/>
          <w:iCs/>
          <w:color w:val="0F0F0F"/>
          <w:lang w:eastAsia="en-GB"/>
        </w:rPr>
        <w:t>Indonesian Journal of Applied Linguistics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, 8(1), 139-148.</w:t>
      </w:r>
    </w:p>
    <w:p w14:paraId="71E38219" w14:textId="24AFC98A" w:rsidR="00A651B7" w:rsidRPr="00090759" w:rsidRDefault="002867A6" w:rsidP="00090759">
      <w:pPr>
        <w:spacing w:after="330" w:line="42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Long, M. (2014). </w:t>
      </w:r>
      <w:r w:rsidRPr="00090759">
        <w:rPr>
          <w:rFonts w:ascii="Open Sans" w:eastAsia="Times New Roman" w:hAnsi="Open Sans" w:cs="Open Sans"/>
          <w:i/>
          <w:iCs/>
          <w:color w:val="0F0F0F"/>
          <w:lang w:eastAsia="en-GB"/>
        </w:rPr>
        <w:t>Second language acquisition and task-based language teaching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. John Wiley &amp; Sons.</w:t>
      </w:r>
    </w:p>
    <w:p w14:paraId="4B1FAE57" w14:textId="481BBFA6" w:rsidR="00A651B7" w:rsidRPr="00090759" w:rsidRDefault="00A651B7" w:rsidP="00090759">
      <w:pPr>
        <w:spacing w:after="330" w:line="42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color w:val="0F0F0F"/>
          <w:lang w:eastAsia="en-GB"/>
        </w:rPr>
        <w:lastRenderedPageBreak/>
        <w:t xml:space="preserve">Long, M., Lee, J., &amp; Hillman, K. (2019). Task-Based Language Learning. In J. </w:t>
      </w:r>
      <w:proofErr w:type="spellStart"/>
      <w:r w:rsidRPr="00090759">
        <w:rPr>
          <w:rFonts w:ascii="Open Sans" w:eastAsia="Times New Roman" w:hAnsi="Open Sans" w:cs="Open Sans"/>
          <w:color w:val="0F0F0F"/>
          <w:lang w:eastAsia="en-GB"/>
        </w:rPr>
        <w:t>Schwieter</w:t>
      </w:r>
      <w:proofErr w:type="spellEnd"/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&amp; A. </w:t>
      </w:r>
      <w:proofErr w:type="spellStart"/>
      <w:r w:rsidRPr="00090759">
        <w:rPr>
          <w:rFonts w:ascii="Open Sans" w:eastAsia="Times New Roman" w:hAnsi="Open Sans" w:cs="Open Sans"/>
          <w:color w:val="0F0F0F"/>
          <w:lang w:eastAsia="en-GB"/>
        </w:rPr>
        <w:t>Benati</w:t>
      </w:r>
      <w:proofErr w:type="spellEnd"/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(Eds.), </w:t>
      </w:r>
      <w:r w:rsidRPr="00090759">
        <w:rPr>
          <w:rFonts w:ascii="Open Sans" w:eastAsia="Times New Roman" w:hAnsi="Open Sans" w:cs="Open Sans"/>
          <w:i/>
          <w:iCs/>
          <w:color w:val="0F0F0F"/>
          <w:lang w:eastAsia="en-GB"/>
        </w:rPr>
        <w:t>The Cambridge Handbook of Language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</w:t>
      </w:r>
      <w:r w:rsidRPr="00090759">
        <w:rPr>
          <w:rFonts w:ascii="Open Sans" w:eastAsia="Times New Roman" w:hAnsi="Open Sans" w:cs="Open Sans"/>
          <w:i/>
          <w:iCs/>
          <w:color w:val="0F0F0F"/>
          <w:lang w:eastAsia="en-GB"/>
        </w:rPr>
        <w:t>Learning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(Cambridge Handbooks in Language and Linguistics, pp. 500-526). Cambridge: Cambridge University Press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>.</w:t>
      </w:r>
    </w:p>
    <w:p w14:paraId="4B5D78E5" w14:textId="2E23FB00" w:rsidR="001D752C" w:rsidRDefault="00E04475" w:rsidP="00090759">
      <w:pPr>
        <w:spacing w:after="330" w:line="42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color w:val="0F0F0F"/>
          <w:lang w:val="de-DE" w:eastAsia="en-GB"/>
        </w:rPr>
        <w:t xml:space="preserve">Van den Branden, K. (Ed.). 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(2006). </w:t>
      </w:r>
      <w:r w:rsidRPr="00090759">
        <w:rPr>
          <w:rFonts w:ascii="Open Sans" w:eastAsia="Times New Roman" w:hAnsi="Open Sans" w:cs="Open Sans"/>
          <w:i/>
          <w:iCs/>
          <w:color w:val="0F0F0F"/>
          <w:lang w:eastAsia="en-GB"/>
        </w:rPr>
        <w:t>Task-based language education: From theory to practice.</w:t>
      </w:r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Ernst </w:t>
      </w:r>
      <w:proofErr w:type="spellStart"/>
      <w:r w:rsidRPr="00090759">
        <w:rPr>
          <w:rFonts w:ascii="Open Sans" w:eastAsia="Times New Roman" w:hAnsi="Open Sans" w:cs="Open Sans"/>
          <w:color w:val="0F0F0F"/>
          <w:lang w:eastAsia="en-GB"/>
        </w:rPr>
        <w:t>Klett</w:t>
      </w:r>
      <w:proofErr w:type="spellEnd"/>
      <w:r w:rsidRPr="00090759">
        <w:rPr>
          <w:rFonts w:ascii="Open Sans" w:eastAsia="Times New Roman" w:hAnsi="Open Sans" w:cs="Open Sans"/>
          <w:color w:val="0F0F0F"/>
          <w:lang w:eastAsia="en-GB"/>
        </w:rPr>
        <w:t xml:space="preserve"> </w:t>
      </w:r>
      <w:proofErr w:type="spellStart"/>
      <w:r w:rsidRPr="00090759">
        <w:rPr>
          <w:rFonts w:ascii="Open Sans" w:eastAsia="Times New Roman" w:hAnsi="Open Sans" w:cs="Open Sans"/>
          <w:color w:val="0F0F0F"/>
          <w:lang w:eastAsia="en-GB"/>
        </w:rPr>
        <w:t>Sprachen</w:t>
      </w:r>
      <w:proofErr w:type="spellEnd"/>
      <w:r w:rsidRPr="00090759">
        <w:rPr>
          <w:rFonts w:ascii="Open Sans" w:eastAsia="Times New Roman" w:hAnsi="Open Sans" w:cs="Open Sans"/>
          <w:color w:val="0F0F0F"/>
          <w:lang w:eastAsia="en-GB"/>
        </w:rPr>
        <w:t>.</w:t>
      </w:r>
    </w:p>
    <w:p w14:paraId="3560FF66" w14:textId="6532C212" w:rsidR="00B472AF" w:rsidRDefault="00B472AF" w:rsidP="00090759">
      <w:pPr>
        <w:spacing w:after="330" w:line="42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</w:p>
    <w:p w14:paraId="674C1A75" w14:textId="77777777" w:rsidR="00B472AF" w:rsidRDefault="00B472AF" w:rsidP="00090759">
      <w:pPr>
        <w:spacing w:after="330" w:line="42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</w:p>
    <w:p w14:paraId="22BA9382" w14:textId="683EC6CC" w:rsidR="006F5BB9" w:rsidRPr="00090759" w:rsidRDefault="006F5BB9" w:rsidP="00090759">
      <w:pPr>
        <w:spacing w:after="330" w:line="42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color w:val="0F0F0F"/>
          <w:lang w:eastAsia="en-GB"/>
        </w:rPr>
        <w:t>Appendix I – Humboldt C1 course catalogue put through a concordance tool (https://www.lextutor.ca/)</w:t>
      </w:r>
    </w:p>
    <w:p w14:paraId="7C2EC3AA" w14:textId="012950AC" w:rsidR="006F5BB9" w:rsidRPr="00090759" w:rsidRDefault="006F5BB9" w:rsidP="00090759">
      <w:pPr>
        <w:spacing w:after="330" w:line="420" w:lineRule="atLeast"/>
        <w:jc w:val="both"/>
        <w:textAlignment w:val="baseline"/>
        <w:rPr>
          <w:rFonts w:ascii="Open Sans" w:eastAsia="Times New Roman" w:hAnsi="Open Sans" w:cs="Open Sans"/>
          <w:color w:val="0F0F0F"/>
          <w:lang w:eastAsia="en-GB"/>
        </w:rPr>
      </w:pPr>
      <w:r w:rsidRPr="00090759">
        <w:rPr>
          <w:rFonts w:ascii="Open Sans" w:eastAsia="Times New Roman" w:hAnsi="Open Sans" w:cs="Open Sans"/>
          <w:noProof/>
          <w:color w:val="0F0F0F"/>
          <w:lang w:eastAsia="en-GB"/>
        </w:rPr>
        <w:drawing>
          <wp:inline distT="0" distB="0" distL="0" distR="0" wp14:anchorId="290885B1" wp14:editId="7EF604C7">
            <wp:extent cx="5760720" cy="2997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69F91" w14:textId="4A13860D" w:rsidR="00F9566C" w:rsidRPr="00090759" w:rsidRDefault="00F9566C" w:rsidP="00090759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lang w:eastAsia="en-GB"/>
        </w:rPr>
      </w:pPr>
      <w:r w:rsidRPr="00090759">
        <w:rPr>
          <w:rFonts w:ascii="Arial" w:eastAsia="Times New Roman" w:hAnsi="Arial" w:cs="Arial"/>
          <w:vanish/>
          <w:lang w:eastAsia="en-GB"/>
        </w:rPr>
        <w:t>Top of Form</w:t>
      </w:r>
    </w:p>
    <w:p w14:paraId="76142F6D" w14:textId="77777777" w:rsidR="00F9566C" w:rsidRPr="00090759" w:rsidRDefault="00F9566C" w:rsidP="00090759">
      <w:pPr>
        <w:pBdr>
          <w:top w:val="single" w:sz="6" w:space="1" w:color="auto"/>
        </w:pBdr>
        <w:spacing w:after="150" w:line="240" w:lineRule="auto"/>
        <w:jc w:val="both"/>
        <w:rPr>
          <w:rFonts w:ascii="Arial" w:eastAsia="Times New Roman" w:hAnsi="Arial" w:cs="Arial"/>
          <w:vanish/>
          <w:lang w:eastAsia="en-GB"/>
        </w:rPr>
      </w:pPr>
      <w:r w:rsidRPr="00090759">
        <w:rPr>
          <w:rFonts w:ascii="Arial" w:eastAsia="Times New Roman" w:hAnsi="Arial" w:cs="Arial"/>
          <w:vanish/>
          <w:lang w:eastAsia="en-GB"/>
        </w:rPr>
        <w:t>Bottom of Form</w:t>
      </w:r>
    </w:p>
    <w:p w14:paraId="1BF79D02" w14:textId="77777777" w:rsidR="00E91885" w:rsidRPr="00090759" w:rsidRDefault="009A21DC" w:rsidP="00090759">
      <w:pPr>
        <w:jc w:val="both"/>
      </w:pPr>
    </w:p>
    <w:sectPr w:rsidR="00E91885" w:rsidRPr="00090759" w:rsidSect="002867A6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5A346" w14:textId="77777777" w:rsidR="009A21DC" w:rsidRDefault="009A21DC" w:rsidP="00A651B7">
      <w:pPr>
        <w:spacing w:after="0" w:line="240" w:lineRule="auto"/>
      </w:pPr>
      <w:r>
        <w:separator/>
      </w:r>
    </w:p>
  </w:endnote>
  <w:endnote w:type="continuationSeparator" w:id="0">
    <w:p w14:paraId="5D9E9638" w14:textId="77777777" w:rsidR="009A21DC" w:rsidRDefault="009A21DC" w:rsidP="00A6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11E72" w14:textId="77777777" w:rsidR="009A21DC" w:rsidRDefault="009A21DC" w:rsidP="00A651B7">
      <w:pPr>
        <w:spacing w:after="0" w:line="240" w:lineRule="auto"/>
      </w:pPr>
      <w:r>
        <w:separator/>
      </w:r>
    </w:p>
  </w:footnote>
  <w:footnote w:type="continuationSeparator" w:id="0">
    <w:p w14:paraId="2ED835A9" w14:textId="77777777" w:rsidR="009A21DC" w:rsidRDefault="009A21DC" w:rsidP="00A651B7">
      <w:pPr>
        <w:spacing w:after="0" w:line="240" w:lineRule="auto"/>
      </w:pPr>
      <w:r>
        <w:continuationSeparator/>
      </w:r>
    </w:p>
  </w:footnote>
  <w:footnote w:id="1">
    <w:p w14:paraId="77A37FBC" w14:textId="77777777" w:rsidR="001D752C" w:rsidRPr="00090759" w:rsidRDefault="001D752C" w:rsidP="001D752C">
      <w:pPr>
        <w:pStyle w:val="FootnoteText"/>
        <w:rPr>
          <w:rFonts w:ascii="Open Sans" w:hAnsi="Open Sans" w:cs="Open Sans"/>
          <w:sz w:val="22"/>
          <w:szCs w:val="22"/>
        </w:rPr>
      </w:pPr>
      <w:r w:rsidRPr="00090759">
        <w:rPr>
          <w:rStyle w:val="FootnoteReference"/>
          <w:rFonts w:ascii="Open Sans" w:hAnsi="Open Sans" w:cs="Open Sans"/>
          <w:sz w:val="22"/>
          <w:szCs w:val="22"/>
        </w:rPr>
        <w:footnoteRef/>
      </w:r>
      <w:r w:rsidRPr="00090759">
        <w:rPr>
          <w:rFonts w:ascii="Open Sans" w:hAnsi="Open Sans" w:cs="Open Sans"/>
          <w:sz w:val="22"/>
          <w:szCs w:val="22"/>
        </w:rPr>
        <w:t xml:space="preserve"> </w:t>
      </w:r>
      <w:r w:rsidRPr="00061314">
        <w:rPr>
          <w:rFonts w:ascii="Open Sans" w:eastAsia="Times New Roman" w:hAnsi="Open Sans" w:cs="Open Sans"/>
          <w:color w:val="0F0F0F"/>
          <w:sz w:val="21"/>
          <w:szCs w:val="21"/>
          <w:lang w:eastAsia="en-GB"/>
        </w:rPr>
        <w:t>I chose C1 because many students need some kind of ‘proof of proficiency’ at C1 to progress to Masters study; indeed, one of the Language Centre’s main purposes is to provide this proof.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3284"/>
    <w:multiLevelType w:val="multilevel"/>
    <w:tmpl w:val="47A2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70EDA"/>
    <w:multiLevelType w:val="multilevel"/>
    <w:tmpl w:val="E272E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6C"/>
    <w:rsid w:val="00031ABF"/>
    <w:rsid w:val="00061314"/>
    <w:rsid w:val="00090759"/>
    <w:rsid w:val="001D752C"/>
    <w:rsid w:val="00201E81"/>
    <w:rsid w:val="002867A6"/>
    <w:rsid w:val="002B73C6"/>
    <w:rsid w:val="004A66AE"/>
    <w:rsid w:val="005671E0"/>
    <w:rsid w:val="00657699"/>
    <w:rsid w:val="006F5BB9"/>
    <w:rsid w:val="007C7973"/>
    <w:rsid w:val="008B011F"/>
    <w:rsid w:val="009A21DC"/>
    <w:rsid w:val="00A651B7"/>
    <w:rsid w:val="00AA58F2"/>
    <w:rsid w:val="00AC6470"/>
    <w:rsid w:val="00B13BE1"/>
    <w:rsid w:val="00B472AF"/>
    <w:rsid w:val="00B650AB"/>
    <w:rsid w:val="00C36DB0"/>
    <w:rsid w:val="00C43A30"/>
    <w:rsid w:val="00C7400E"/>
    <w:rsid w:val="00C779FF"/>
    <w:rsid w:val="00D002FC"/>
    <w:rsid w:val="00E04475"/>
    <w:rsid w:val="00F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4625"/>
  <w15:chartTrackingRefBased/>
  <w15:docId w15:val="{B31344F6-5EDC-4E5B-8EE7-79746B56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9566C"/>
    <w:rPr>
      <w:b/>
      <w:bCs/>
    </w:rPr>
  </w:style>
  <w:style w:type="paragraph" w:customStyle="1" w:styleId="has-text-color">
    <w:name w:val="has-text-color"/>
    <w:basedOn w:val="Normal"/>
    <w:rsid w:val="00F9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ioken-highlight">
    <w:name w:val="kioken-highlight"/>
    <w:basedOn w:val="DefaultParagraphFont"/>
    <w:rsid w:val="00F9566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56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566C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56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566C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201E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E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E8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5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5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51B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3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38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03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7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meldung.sprachenzentrum.hu-berlin.de/sprachen/S/sprache0_4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6E02-1903-4FAF-9337-BC059DB8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paulw</dc:creator>
  <cp:keywords/>
  <dc:description/>
  <cp:lastModifiedBy>paulw</cp:lastModifiedBy>
  <cp:revision>7</cp:revision>
  <dcterms:created xsi:type="dcterms:W3CDTF">2020-11-14T13:40:00Z</dcterms:created>
  <dcterms:modified xsi:type="dcterms:W3CDTF">2020-11-15T22:27:00Z</dcterms:modified>
</cp:coreProperties>
</file>