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46698" w14:textId="1CDC69F6" w:rsidR="0052240B" w:rsidRPr="001839E7" w:rsidRDefault="00120C77" w:rsidP="001839E7">
      <w:pPr>
        <w:jc w:val="center"/>
        <w:rPr>
          <w:b/>
          <w:bCs/>
          <w:sz w:val="32"/>
          <w:szCs w:val="32"/>
          <w:shd w:val="pct15" w:color="auto" w:fill="FFFFFF"/>
        </w:rPr>
      </w:pPr>
      <w:r w:rsidRPr="0052240B">
        <w:rPr>
          <w:b/>
          <w:bCs/>
          <w:sz w:val="32"/>
          <w:szCs w:val="32"/>
          <w:shd w:val="pct15" w:color="auto" w:fill="FFFFFF"/>
        </w:rPr>
        <w:t>A Proposal for a TBLT Syllabus</w:t>
      </w:r>
    </w:p>
    <w:p w14:paraId="37968F65" w14:textId="680E9BA4" w:rsidR="00120C77" w:rsidRPr="0052240B" w:rsidRDefault="00761A1A" w:rsidP="0052240B">
      <w:pPr>
        <w:rPr>
          <w:b/>
          <w:bCs/>
          <w:sz w:val="28"/>
          <w:szCs w:val="28"/>
        </w:rPr>
      </w:pPr>
      <w:r>
        <w:rPr>
          <w:b/>
          <w:bCs/>
          <w:sz w:val="28"/>
          <w:szCs w:val="28"/>
        </w:rPr>
        <w:t>Approaches</w:t>
      </w:r>
      <w:r w:rsidR="002A296D" w:rsidRPr="0052240B">
        <w:rPr>
          <w:b/>
          <w:bCs/>
          <w:sz w:val="28"/>
          <w:szCs w:val="28"/>
        </w:rPr>
        <w:t xml:space="preserve"> to language </w:t>
      </w:r>
      <w:r w:rsidR="00865E8B">
        <w:rPr>
          <w:b/>
          <w:bCs/>
          <w:sz w:val="28"/>
          <w:szCs w:val="28"/>
        </w:rPr>
        <w:t>learning</w:t>
      </w:r>
      <w:r>
        <w:rPr>
          <w:b/>
          <w:bCs/>
          <w:sz w:val="28"/>
          <w:szCs w:val="28"/>
        </w:rPr>
        <w:t xml:space="preserve"> and their differences</w:t>
      </w:r>
    </w:p>
    <w:p w14:paraId="1A648B52" w14:textId="24B91D08" w:rsidR="00B17AA3" w:rsidRPr="00B17AA3" w:rsidRDefault="002A296D" w:rsidP="00B17AA3">
      <w:pPr>
        <w:spacing w:after="0"/>
        <w:rPr>
          <w:b/>
          <w:bCs/>
          <w:i/>
          <w:iCs/>
          <w:sz w:val="24"/>
          <w:szCs w:val="24"/>
        </w:rPr>
      </w:pPr>
      <w:r w:rsidRPr="00B17AA3">
        <w:rPr>
          <w:b/>
          <w:bCs/>
          <w:i/>
          <w:iCs/>
          <w:sz w:val="24"/>
          <w:szCs w:val="24"/>
        </w:rPr>
        <w:t>Synthetic approaches</w:t>
      </w:r>
      <w:r w:rsidR="00204FA9">
        <w:rPr>
          <w:b/>
          <w:bCs/>
          <w:i/>
          <w:iCs/>
          <w:sz w:val="24"/>
          <w:szCs w:val="24"/>
        </w:rPr>
        <w:t>, e.g. PPP</w:t>
      </w:r>
    </w:p>
    <w:p w14:paraId="74165684" w14:textId="37DF1450" w:rsidR="00B17AA3" w:rsidRDefault="00B17AA3" w:rsidP="00B17AA3">
      <w:pPr>
        <w:spacing w:after="0"/>
        <w:rPr>
          <w:sz w:val="24"/>
          <w:szCs w:val="24"/>
        </w:rPr>
      </w:pPr>
      <w:r>
        <w:rPr>
          <w:sz w:val="24"/>
          <w:szCs w:val="24"/>
        </w:rPr>
        <w:t xml:space="preserve">Until now, classes in the Intensive English Centre (IEC) at our school have largely followed a synthetic approach to the language learning process. </w:t>
      </w:r>
      <w:r w:rsidRPr="008479AC">
        <w:rPr>
          <w:sz w:val="24"/>
          <w:szCs w:val="24"/>
          <w:u w:val="single"/>
        </w:rPr>
        <w:t>This has been implemented</w:t>
      </w:r>
      <w:r w:rsidR="00E16990" w:rsidRPr="008479AC">
        <w:rPr>
          <w:sz w:val="24"/>
          <w:szCs w:val="24"/>
          <w:u w:val="single"/>
        </w:rPr>
        <w:t xml:space="preserve"> through a syllabus</w:t>
      </w:r>
      <w:r w:rsidR="008479AC" w:rsidRPr="008479AC">
        <w:rPr>
          <w:sz w:val="24"/>
          <w:szCs w:val="24"/>
          <w:u w:val="single"/>
        </w:rPr>
        <w:t xml:space="preserve"> which is </w:t>
      </w:r>
      <w:r w:rsidR="00075B86" w:rsidRPr="008479AC">
        <w:rPr>
          <w:sz w:val="24"/>
          <w:szCs w:val="24"/>
          <w:u w:val="single"/>
        </w:rPr>
        <w:t xml:space="preserve">divided into units organised </w:t>
      </w:r>
      <w:r w:rsidR="00E16990" w:rsidRPr="008479AC">
        <w:rPr>
          <w:sz w:val="24"/>
          <w:szCs w:val="24"/>
          <w:u w:val="single"/>
        </w:rPr>
        <w:t xml:space="preserve">by </w:t>
      </w:r>
      <w:r w:rsidR="00075B86" w:rsidRPr="008479AC">
        <w:rPr>
          <w:sz w:val="24"/>
          <w:szCs w:val="24"/>
          <w:u w:val="single"/>
        </w:rPr>
        <w:t>topic,</w:t>
      </w:r>
      <w:r w:rsidR="00E16990" w:rsidRPr="008479AC">
        <w:rPr>
          <w:sz w:val="24"/>
          <w:szCs w:val="24"/>
          <w:u w:val="single"/>
        </w:rPr>
        <w:t xml:space="preserve"> and informed by </w:t>
      </w:r>
      <w:r w:rsidR="00075B86" w:rsidRPr="008479AC">
        <w:rPr>
          <w:sz w:val="24"/>
          <w:szCs w:val="24"/>
          <w:u w:val="single"/>
        </w:rPr>
        <w:t xml:space="preserve">inauthentic </w:t>
      </w:r>
      <w:r w:rsidR="00E16990" w:rsidRPr="008479AC">
        <w:rPr>
          <w:sz w:val="24"/>
          <w:szCs w:val="24"/>
          <w:u w:val="single"/>
        </w:rPr>
        <w:t>texts borrowed from mass-produced, commercial textbooks.</w:t>
      </w:r>
    </w:p>
    <w:p w14:paraId="6BB9EB00" w14:textId="77777777" w:rsidR="00B17AA3" w:rsidRDefault="00B17AA3" w:rsidP="00B17AA3">
      <w:pPr>
        <w:spacing w:after="0"/>
        <w:rPr>
          <w:sz w:val="24"/>
          <w:szCs w:val="24"/>
        </w:rPr>
      </w:pPr>
    </w:p>
    <w:p w14:paraId="2A20BC5D" w14:textId="49CBAD37" w:rsidR="002A296D" w:rsidRDefault="00B4591A" w:rsidP="00B17AA3">
      <w:pPr>
        <w:spacing w:after="0"/>
        <w:rPr>
          <w:sz w:val="24"/>
          <w:szCs w:val="24"/>
        </w:rPr>
      </w:pPr>
      <w:r>
        <w:rPr>
          <w:sz w:val="24"/>
          <w:szCs w:val="24"/>
        </w:rPr>
        <w:t xml:space="preserve">Synthetic approaches </w:t>
      </w:r>
      <w:r w:rsidR="00630C80">
        <w:rPr>
          <w:sz w:val="24"/>
          <w:szCs w:val="24"/>
        </w:rPr>
        <w:t>like this</w:t>
      </w:r>
      <w:r w:rsidR="00B17AA3">
        <w:rPr>
          <w:sz w:val="24"/>
          <w:szCs w:val="24"/>
        </w:rPr>
        <w:t xml:space="preserve"> treat language as </w:t>
      </w:r>
      <w:r w:rsidR="00630C80">
        <w:rPr>
          <w:sz w:val="24"/>
          <w:szCs w:val="24"/>
        </w:rPr>
        <w:t>object</w:t>
      </w:r>
      <w:r w:rsidR="00BD6644">
        <w:rPr>
          <w:sz w:val="24"/>
          <w:szCs w:val="24"/>
        </w:rPr>
        <w:t xml:space="preserve">, where the language is arbitrarily cut up into pieces (usually grammatical and/or lexical) and presented and practiced one at a time. The learner is required to ‘synthesize’ these pieces of language and expected to use them, without recourse to error, </w:t>
      </w:r>
      <w:r w:rsidR="00241183">
        <w:rPr>
          <w:sz w:val="24"/>
          <w:szCs w:val="24"/>
        </w:rPr>
        <w:t xml:space="preserve">later </w:t>
      </w:r>
      <w:r w:rsidR="00BD6644">
        <w:rPr>
          <w:sz w:val="24"/>
          <w:szCs w:val="24"/>
        </w:rPr>
        <w:t>for communicative purposes.</w:t>
      </w:r>
    </w:p>
    <w:p w14:paraId="4641323C" w14:textId="4E30FA84" w:rsidR="00BD6644" w:rsidRDefault="00BD6644" w:rsidP="00B17AA3">
      <w:pPr>
        <w:spacing w:after="0"/>
        <w:rPr>
          <w:sz w:val="24"/>
          <w:szCs w:val="24"/>
        </w:rPr>
      </w:pPr>
    </w:p>
    <w:p w14:paraId="4807882C" w14:textId="46295324" w:rsidR="00BD6644" w:rsidRDefault="00BD6644" w:rsidP="00B17AA3">
      <w:pPr>
        <w:spacing w:after="0"/>
        <w:rPr>
          <w:sz w:val="24"/>
          <w:szCs w:val="24"/>
        </w:rPr>
      </w:pPr>
      <w:r>
        <w:rPr>
          <w:sz w:val="24"/>
          <w:szCs w:val="24"/>
        </w:rPr>
        <w:t xml:space="preserve">Such an approach is informed by Skill Acquisition Theory (SAT). According to SAT, learners first learn declarative (conscious) knowledge </w:t>
      </w:r>
      <w:r w:rsidRPr="00BD6644">
        <w:rPr>
          <w:i/>
          <w:iCs/>
          <w:sz w:val="24"/>
          <w:szCs w:val="24"/>
        </w:rPr>
        <w:t>how</w:t>
      </w:r>
      <w:r>
        <w:rPr>
          <w:sz w:val="24"/>
          <w:szCs w:val="24"/>
        </w:rPr>
        <w:t>, and through practice and repetition this become</w:t>
      </w:r>
      <w:r w:rsidR="00971ECA">
        <w:rPr>
          <w:sz w:val="24"/>
          <w:szCs w:val="24"/>
        </w:rPr>
        <w:t>s</w:t>
      </w:r>
      <w:r>
        <w:rPr>
          <w:sz w:val="24"/>
          <w:szCs w:val="24"/>
        </w:rPr>
        <w:t xml:space="preserve"> procedural (unconscious) knowledge </w:t>
      </w:r>
      <w:r w:rsidRPr="00BD6644">
        <w:rPr>
          <w:i/>
          <w:iCs/>
          <w:sz w:val="24"/>
          <w:szCs w:val="24"/>
        </w:rPr>
        <w:t>that</w:t>
      </w:r>
      <w:r>
        <w:rPr>
          <w:sz w:val="24"/>
          <w:szCs w:val="24"/>
        </w:rPr>
        <w:t xml:space="preserve"> (Jordan 2017).</w:t>
      </w:r>
      <w:r w:rsidR="00971ECA">
        <w:rPr>
          <w:sz w:val="24"/>
          <w:szCs w:val="24"/>
        </w:rPr>
        <w:t xml:space="preserve"> SAT shares similarities to Krashen’s Acquisition/Learning</w:t>
      </w:r>
      <w:r w:rsidR="00083F6B">
        <w:rPr>
          <w:sz w:val="24"/>
          <w:szCs w:val="24"/>
        </w:rPr>
        <w:t xml:space="preserve"> and Monitor</w:t>
      </w:r>
      <w:r w:rsidR="00971ECA">
        <w:rPr>
          <w:sz w:val="24"/>
          <w:szCs w:val="24"/>
        </w:rPr>
        <w:t xml:space="preserve"> Hypothes</w:t>
      </w:r>
      <w:r w:rsidR="00083F6B">
        <w:rPr>
          <w:sz w:val="24"/>
          <w:szCs w:val="24"/>
        </w:rPr>
        <w:t>e</w:t>
      </w:r>
      <w:r w:rsidR="00971ECA">
        <w:rPr>
          <w:sz w:val="24"/>
          <w:szCs w:val="24"/>
        </w:rPr>
        <w:t xml:space="preserve">s, which state that learning (knowing about) </w:t>
      </w:r>
      <w:r w:rsidR="006F276A">
        <w:rPr>
          <w:sz w:val="24"/>
          <w:szCs w:val="24"/>
        </w:rPr>
        <w:t xml:space="preserve">is used to monitor (attend to an edit) </w:t>
      </w:r>
      <w:r w:rsidR="00971ECA">
        <w:rPr>
          <w:sz w:val="24"/>
          <w:szCs w:val="24"/>
        </w:rPr>
        <w:t>language</w:t>
      </w:r>
      <w:r w:rsidR="006F276A">
        <w:rPr>
          <w:sz w:val="24"/>
          <w:szCs w:val="24"/>
        </w:rPr>
        <w:t>, which</w:t>
      </w:r>
      <w:r w:rsidR="00971ECA">
        <w:rPr>
          <w:sz w:val="24"/>
          <w:szCs w:val="24"/>
        </w:rPr>
        <w:t xml:space="preserve"> will</w:t>
      </w:r>
      <w:r w:rsidR="006F276A">
        <w:rPr>
          <w:sz w:val="24"/>
          <w:szCs w:val="24"/>
        </w:rPr>
        <w:t xml:space="preserve"> then</w:t>
      </w:r>
      <w:r w:rsidR="00971ECA">
        <w:rPr>
          <w:sz w:val="24"/>
          <w:szCs w:val="24"/>
        </w:rPr>
        <w:t xml:space="preserve"> become acquisition (ability to use the language)</w:t>
      </w:r>
      <w:r w:rsidR="006F276A">
        <w:rPr>
          <w:sz w:val="24"/>
          <w:szCs w:val="24"/>
        </w:rPr>
        <w:t>.</w:t>
      </w:r>
    </w:p>
    <w:p w14:paraId="3A67725B" w14:textId="2D9AE494" w:rsidR="006F276A" w:rsidRDefault="006F276A" w:rsidP="00B17AA3">
      <w:pPr>
        <w:spacing w:after="0"/>
        <w:rPr>
          <w:sz w:val="24"/>
          <w:szCs w:val="24"/>
        </w:rPr>
      </w:pPr>
    </w:p>
    <w:p w14:paraId="6C479D1B" w14:textId="754977F9" w:rsidR="002A296D" w:rsidRDefault="006F276A" w:rsidP="00D70BDC">
      <w:pPr>
        <w:spacing w:after="0"/>
        <w:rPr>
          <w:b/>
          <w:bCs/>
          <w:sz w:val="24"/>
          <w:szCs w:val="24"/>
        </w:rPr>
      </w:pPr>
      <w:r>
        <w:rPr>
          <w:sz w:val="24"/>
          <w:szCs w:val="24"/>
        </w:rPr>
        <w:t>Long (2015) states that synthetic approaches are typically realised in grammatical, lexical or notional-functional syllabi, and methods such as Grammar Translation, Audio-Lingual and Presentation-Practice-Production (PPP).</w:t>
      </w:r>
    </w:p>
    <w:p w14:paraId="1E8C7675" w14:textId="77777777" w:rsidR="00D70BDC" w:rsidRDefault="00D70BDC" w:rsidP="00D70BDC">
      <w:pPr>
        <w:spacing w:after="0"/>
        <w:rPr>
          <w:b/>
          <w:bCs/>
          <w:sz w:val="24"/>
          <w:szCs w:val="24"/>
        </w:rPr>
      </w:pPr>
    </w:p>
    <w:p w14:paraId="70972866" w14:textId="4A1BB9F1" w:rsidR="002A296D" w:rsidRDefault="002A296D" w:rsidP="00B17AA3">
      <w:pPr>
        <w:spacing w:after="0"/>
        <w:rPr>
          <w:b/>
          <w:bCs/>
          <w:i/>
          <w:iCs/>
          <w:sz w:val="24"/>
          <w:szCs w:val="24"/>
        </w:rPr>
      </w:pPr>
      <w:r w:rsidRPr="002E2628">
        <w:rPr>
          <w:b/>
          <w:bCs/>
          <w:i/>
          <w:iCs/>
          <w:sz w:val="24"/>
          <w:szCs w:val="24"/>
        </w:rPr>
        <w:t>Analytic approaches</w:t>
      </w:r>
      <w:r w:rsidR="00204FA9">
        <w:rPr>
          <w:b/>
          <w:bCs/>
          <w:i/>
          <w:iCs/>
          <w:sz w:val="24"/>
          <w:szCs w:val="24"/>
        </w:rPr>
        <w:t>, e.g. TBLT</w:t>
      </w:r>
    </w:p>
    <w:p w14:paraId="1C582AC1" w14:textId="00BBD1E5" w:rsidR="00DB10E3" w:rsidRDefault="005F6F26" w:rsidP="00B17AA3">
      <w:pPr>
        <w:spacing w:after="0"/>
        <w:rPr>
          <w:sz w:val="24"/>
          <w:szCs w:val="24"/>
        </w:rPr>
      </w:pPr>
      <w:r>
        <w:rPr>
          <w:sz w:val="24"/>
          <w:szCs w:val="24"/>
        </w:rPr>
        <w:t xml:space="preserve">An analytic approach to the language learning process does the </w:t>
      </w:r>
      <w:r w:rsidR="00EF2378">
        <w:rPr>
          <w:sz w:val="24"/>
          <w:szCs w:val="24"/>
        </w:rPr>
        <w:t>opposite; i</w:t>
      </w:r>
      <w:r>
        <w:rPr>
          <w:sz w:val="24"/>
          <w:szCs w:val="24"/>
        </w:rPr>
        <w:t>nstead of a pre-determined, pseudo-communicative syllabus organised according to grammar, lexical items or function, an analytic syllabus is informed by comprehensible, authentic tasks and texts</w:t>
      </w:r>
      <w:r w:rsidR="000242D4">
        <w:rPr>
          <w:sz w:val="24"/>
          <w:szCs w:val="24"/>
        </w:rPr>
        <w:t xml:space="preserve"> (input)</w:t>
      </w:r>
      <w:r>
        <w:rPr>
          <w:sz w:val="24"/>
          <w:szCs w:val="24"/>
        </w:rPr>
        <w:t xml:space="preserve"> which are context-specific and applicable to the current and future needs of the learner(s).</w:t>
      </w:r>
    </w:p>
    <w:p w14:paraId="1CAE2648" w14:textId="5FFF6A5A" w:rsidR="005F6F26" w:rsidRDefault="005F6F26" w:rsidP="00B17AA3">
      <w:pPr>
        <w:spacing w:after="0"/>
        <w:rPr>
          <w:sz w:val="24"/>
          <w:szCs w:val="24"/>
        </w:rPr>
      </w:pPr>
    </w:p>
    <w:p w14:paraId="649FE27F" w14:textId="4ADF57FA" w:rsidR="005F6F26" w:rsidRDefault="005F6F26" w:rsidP="00B17AA3">
      <w:pPr>
        <w:spacing w:after="0"/>
        <w:rPr>
          <w:sz w:val="24"/>
          <w:szCs w:val="24"/>
        </w:rPr>
      </w:pPr>
      <w:r>
        <w:rPr>
          <w:sz w:val="24"/>
          <w:szCs w:val="24"/>
        </w:rPr>
        <w:t>Analytic approaches like this treat language as medium, where the language is used for engaging, meaning-focused purposes. The learner is required to ‘analyse’ the input and, with the help of the teacher and classmates, induce the underlying rules incidentally while performing the tasks (Long, Lee, &amp; Hillman 2019).</w:t>
      </w:r>
    </w:p>
    <w:p w14:paraId="4D525BDC" w14:textId="6B9AE69A" w:rsidR="005F6F26" w:rsidRDefault="005F6F26" w:rsidP="00B17AA3">
      <w:pPr>
        <w:spacing w:after="0"/>
        <w:rPr>
          <w:sz w:val="24"/>
          <w:szCs w:val="24"/>
        </w:rPr>
      </w:pPr>
    </w:p>
    <w:p w14:paraId="308DA06D" w14:textId="703A4F17" w:rsidR="005F6F26" w:rsidRDefault="005F6F26" w:rsidP="00B17AA3">
      <w:pPr>
        <w:spacing w:after="0"/>
        <w:rPr>
          <w:sz w:val="24"/>
          <w:szCs w:val="24"/>
        </w:rPr>
      </w:pPr>
      <w:r>
        <w:rPr>
          <w:sz w:val="24"/>
          <w:szCs w:val="24"/>
        </w:rPr>
        <w:t xml:space="preserve">Such an approach is informed by cognitive-interactionist and usage-based theories of second language learning (Long 2015), </w:t>
      </w:r>
      <w:r w:rsidR="00AF336E">
        <w:rPr>
          <w:sz w:val="24"/>
          <w:szCs w:val="24"/>
        </w:rPr>
        <w:t xml:space="preserve">and the system of ‘interlanguage’ (IL), first proposed by </w:t>
      </w:r>
      <w:proofErr w:type="spellStart"/>
      <w:r w:rsidR="00AF336E">
        <w:rPr>
          <w:sz w:val="24"/>
          <w:szCs w:val="24"/>
        </w:rPr>
        <w:t>Selinker</w:t>
      </w:r>
      <w:proofErr w:type="spellEnd"/>
      <w:r w:rsidR="00AF336E">
        <w:rPr>
          <w:sz w:val="24"/>
          <w:szCs w:val="24"/>
        </w:rPr>
        <w:t xml:space="preserve"> (1972).</w:t>
      </w:r>
    </w:p>
    <w:p w14:paraId="3FD7F2D6" w14:textId="5A8BC5D8" w:rsidR="00AF336E" w:rsidRDefault="00AF336E" w:rsidP="00B17AA3">
      <w:pPr>
        <w:spacing w:after="0"/>
        <w:rPr>
          <w:sz w:val="24"/>
          <w:szCs w:val="24"/>
        </w:rPr>
      </w:pPr>
    </w:p>
    <w:p w14:paraId="3F31E1F6" w14:textId="50626116" w:rsidR="00AF336E" w:rsidRDefault="00AF336E" w:rsidP="00B17AA3">
      <w:pPr>
        <w:spacing w:after="0"/>
        <w:rPr>
          <w:sz w:val="24"/>
          <w:szCs w:val="24"/>
        </w:rPr>
      </w:pPr>
      <w:r>
        <w:rPr>
          <w:sz w:val="24"/>
          <w:szCs w:val="24"/>
        </w:rPr>
        <w:lastRenderedPageBreak/>
        <w:t>Long (2015) states that analytic approaches are often realised in immersion education programs, Content and Language Integrated Learning (CLIL) and Task-Based Language Teaching (TBLT).</w:t>
      </w:r>
    </w:p>
    <w:p w14:paraId="69335F02" w14:textId="77777777" w:rsidR="0098237B" w:rsidRPr="00DB10E3" w:rsidRDefault="0098237B" w:rsidP="00B17AA3">
      <w:pPr>
        <w:spacing w:after="0"/>
        <w:rPr>
          <w:sz w:val="24"/>
          <w:szCs w:val="24"/>
        </w:rPr>
      </w:pPr>
    </w:p>
    <w:p w14:paraId="36521C45" w14:textId="62C990CA" w:rsidR="00D2494B" w:rsidRDefault="002A296D" w:rsidP="00D2494B">
      <w:pPr>
        <w:spacing w:after="0"/>
        <w:rPr>
          <w:b/>
          <w:bCs/>
          <w:i/>
          <w:iCs/>
          <w:sz w:val="24"/>
          <w:szCs w:val="24"/>
        </w:rPr>
      </w:pPr>
      <w:r w:rsidRPr="002E2628">
        <w:rPr>
          <w:b/>
          <w:bCs/>
          <w:i/>
          <w:iCs/>
          <w:sz w:val="24"/>
          <w:szCs w:val="24"/>
        </w:rPr>
        <w:t>Key differences</w:t>
      </w:r>
    </w:p>
    <w:p w14:paraId="69C48ED7" w14:textId="49CEB409" w:rsidR="00D2494B" w:rsidRDefault="006A7988" w:rsidP="00D2494B">
      <w:pPr>
        <w:spacing w:after="0"/>
        <w:rPr>
          <w:sz w:val="24"/>
          <w:szCs w:val="24"/>
        </w:rPr>
      </w:pPr>
      <w:r>
        <w:rPr>
          <w:sz w:val="24"/>
          <w:szCs w:val="24"/>
        </w:rPr>
        <w:t>There are a number of key differences between the two approaches</w:t>
      </w:r>
      <w:r w:rsidR="005A475D">
        <w:rPr>
          <w:sz w:val="24"/>
          <w:szCs w:val="24"/>
        </w:rPr>
        <w:t xml:space="preserve"> outlined above</w:t>
      </w:r>
      <w:r>
        <w:rPr>
          <w:sz w:val="24"/>
          <w:szCs w:val="24"/>
        </w:rPr>
        <w:t xml:space="preserve">. </w:t>
      </w:r>
      <w:r w:rsidR="007B666A">
        <w:rPr>
          <w:sz w:val="24"/>
          <w:szCs w:val="24"/>
        </w:rPr>
        <w:t xml:space="preserve">First and foremost is </w:t>
      </w:r>
      <w:r>
        <w:rPr>
          <w:sz w:val="24"/>
          <w:szCs w:val="24"/>
        </w:rPr>
        <w:t xml:space="preserve">their </w:t>
      </w:r>
      <w:r w:rsidR="00B937AB">
        <w:rPr>
          <w:sz w:val="24"/>
          <w:szCs w:val="24"/>
        </w:rPr>
        <w:t>treatment of learner cognition</w:t>
      </w:r>
      <w:r w:rsidR="005A475D">
        <w:rPr>
          <w:sz w:val="24"/>
          <w:szCs w:val="24"/>
        </w:rPr>
        <w:t>. A synthetic approach imposes an external linguistic syllabus on the learner</w:t>
      </w:r>
      <w:r w:rsidR="00B937AB">
        <w:rPr>
          <w:sz w:val="24"/>
          <w:szCs w:val="24"/>
        </w:rPr>
        <w:t>, whether they like it or need it or not. On the other hand, an analytic approach respects the developmental readiness of the learner. It aims to facilitate acquisition by working in harmony with an internal learner syllabus</w:t>
      </w:r>
      <w:r w:rsidR="00103788">
        <w:rPr>
          <w:sz w:val="24"/>
          <w:szCs w:val="24"/>
        </w:rPr>
        <w:t>, not fighting against it.</w:t>
      </w:r>
      <w:r w:rsidR="00B937AB">
        <w:rPr>
          <w:sz w:val="24"/>
          <w:szCs w:val="24"/>
        </w:rPr>
        <w:t xml:space="preserve"> </w:t>
      </w:r>
    </w:p>
    <w:p w14:paraId="19F52F7C" w14:textId="6E2B7200" w:rsidR="00E52301" w:rsidRDefault="00E52301" w:rsidP="00D2494B">
      <w:pPr>
        <w:spacing w:after="0"/>
        <w:rPr>
          <w:sz w:val="24"/>
          <w:szCs w:val="24"/>
        </w:rPr>
      </w:pPr>
    </w:p>
    <w:p w14:paraId="13C14E8F" w14:textId="6B9EB071" w:rsidR="00E52301" w:rsidRDefault="00E52301" w:rsidP="00D2494B">
      <w:pPr>
        <w:spacing w:after="0"/>
        <w:rPr>
          <w:sz w:val="24"/>
          <w:szCs w:val="24"/>
        </w:rPr>
      </w:pPr>
      <w:r>
        <w:rPr>
          <w:sz w:val="24"/>
          <w:szCs w:val="24"/>
        </w:rPr>
        <w:t>Second is th</w:t>
      </w:r>
      <w:r w:rsidR="00103788">
        <w:rPr>
          <w:sz w:val="24"/>
          <w:szCs w:val="24"/>
        </w:rPr>
        <w:t>e roles they attribute to explicit and implicit learning</w:t>
      </w:r>
      <w:r>
        <w:rPr>
          <w:sz w:val="24"/>
          <w:szCs w:val="24"/>
        </w:rPr>
        <w:t>.</w:t>
      </w:r>
      <w:r w:rsidR="00E443AF">
        <w:rPr>
          <w:sz w:val="24"/>
          <w:szCs w:val="24"/>
        </w:rPr>
        <w:t xml:space="preserve"> </w:t>
      </w:r>
      <w:r w:rsidR="00103788">
        <w:rPr>
          <w:sz w:val="24"/>
          <w:szCs w:val="24"/>
        </w:rPr>
        <w:t xml:space="preserve">A synthetic approach favours explicit learning and believes a ‘strong interface’ exists between </w:t>
      </w:r>
      <w:r w:rsidR="008412DD">
        <w:rPr>
          <w:sz w:val="24"/>
          <w:szCs w:val="24"/>
        </w:rPr>
        <w:t>the two (that declarative knowledge always become procedural knowledge)</w:t>
      </w:r>
      <w:r w:rsidR="00103788">
        <w:rPr>
          <w:sz w:val="24"/>
          <w:szCs w:val="24"/>
        </w:rPr>
        <w:t xml:space="preserve">. An analytic approach favours implicit learning, while also recognising the need for some explicit teaching. This </w:t>
      </w:r>
      <w:r w:rsidR="00081B41">
        <w:rPr>
          <w:sz w:val="24"/>
          <w:szCs w:val="24"/>
        </w:rPr>
        <w:t>is known as</w:t>
      </w:r>
      <w:r w:rsidR="00103788">
        <w:rPr>
          <w:sz w:val="24"/>
          <w:szCs w:val="24"/>
        </w:rPr>
        <w:t xml:space="preserve"> a ‘weak interface’ position</w:t>
      </w:r>
      <w:r w:rsidR="00214847">
        <w:rPr>
          <w:sz w:val="24"/>
          <w:szCs w:val="24"/>
        </w:rPr>
        <w:t xml:space="preserve"> (that the two are symbiotic and work in tandem).</w:t>
      </w:r>
    </w:p>
    <w:p w14:paraId="232D6E65" w14:textId="20F0CE31" w:rsidR="00E52301" w:rsidRDefault="00E52301" w:rsidP="00D2494B">
      <w:pPr>
        <w:spacing w:after="0"/>
        <w:rPr>
          <w:sz w:val="24"/>
          <w:szCs w:val="24"/>
        </w:rPr>
      </w:pPr>
    </w:p>
    <w:p w14:paraId="6CC8ACD7" w14:textId="774F2C7A" w:rsidR="005D10B6" w:rsidRDefault="00E52301" w:rsidP="00D2494B">
      <w:pPr>
        <w:spacing w:after="0"/>
        <w:rPr>
          <w:sz w:val="24"/>
          <w:szCs w:val="24"/>
        </w:rPr>
      </w:pPr>
      <w:r>
        <w:rPr>
          <w:sz w:val="24"/>
          <w:szCs w:val="24"/>
        </w:rPr>
        <w:t>A third difference is their design.</w:t>
      </w:r>
      <w:r w:rsidR="00E443AF">
        <w:rPr>
          <w:sz w:val="24"/>
          <w:szCs w:val="24"/>
        </w:rPr>
        <w:t xml:space="preserve"> </w:t>
      </w:r>
      <w:r w:rsidR="00081B41">
        <w:rPr>
          <w:sz w:val="24"/>
          <w:szCs w:val="24"/>
        </w:rPr>
        <w:t>A synthetic approach is typically ’c</w:t>
      </w:r>
      <w:r w:rsidR="00E443AF">
        <w:rPr>
          <w:sz w:val="24"/>
          <w:szCs w:val="24"/>
        </w:rPr>
        <w:t>ontext-redundant</w:t>
      </w:r>
      <w:r w:rsidR="00081B41">
        <w:rPr>
          <w:sz w:val="24"/>
          <w:szCs w:val="24"/>
        </w:rPr>
        <w:t>’;</w:t>
      </w:r>
      <w:r w:rsidR="00E443AF">
        <w:rPr>
          <w:sz w:val="24"/>
          <w:szCs w:val="24"/>
        </w:rPr>
        <w:t xml:space="preserve"> </w:t>
      </w:r>
      <w:r w:rsidR="00081B41">
        <w:rPr>
          <w:sz w:val="24"/>
          <w:szCs w:val="24"/>
        </w:rPr>
        <w:t xml:space="preserve">it is usually enacted through mass-produced, </w:t>
      </w:r>
      <w:r w:rsidR="003316CF">
        <w:rPr>
          <w:sz w:val="24"/>
          <w:szCs w:val="24"/>
        </w:rPr>
        <w:t>commercially driven</w:t>
      </w:r>
      <w:r w:rsidR="00081B41">
        <w:rPr>
          <w:sz w:val="24"/>
          <w:szCs w:val="24"/>
        </w:rPr>
        <w:t xml:space="preserve"> textbooks which in attempting to appeal to everyone appeal to no one. An analytic approach, on the other hand, is ‘context-specific’; it seeks to design a syllabus that </w:t>
      </w:r>
      <w:r w:rsidR="003316CF">
        <w:rPr>
          <w:sz w:val="24"/>
          <w:szCs w:val="24"/>
        </w:rPr>
        <w:t>a particular group of learners will use or will need.</w:t>
      </w:r>
    </w:p>
    <w:p w14:paraId="34D09DB6" w14:textId="77777777" w:rsidR="00081B41" w:rsidRDefault="00081B41" w:rsidP="00D2494B">
      <w:pPr>
        <w:spacing w:after="0"/>
        <w:rPr>
          <w:sz w:val="24"/>
          <w:szCs w:val="24"/>
        </w:rPr>
      </w:pPr>
    </w:p>
    <w:p w14:paraId="10F19F75" w14:textId="5CDB2EC0" w:rsidR="005D10B6" w:rsidRPr="00D5562C" w:rsidRDefault="005D10B6" w:rsidP="0098237B">
      <w:pPr>
        <w:spacing w:after="0"/>
        <w:rPr>
          <w:sz w:val="28"/>
          <w:szCs w:val="28"/>
        </w:rPr>
      </w:pPr>
      <w:r w:rsidRPr="0098237B">
        <w:rPr>
          <w:b/>
          <w:bCs/>
          <w:sz w:val="28"/>
          <w:szCs w:val="28"/>
        </w:rPr>
        <w:t>Support for TBLT in SLA research</w:t>
      </w:r>
    </w:p>
    <w:p w14:paraId="5F9D592F" w14:textId="32734D52" w:rsidR="005D10B6" w:rsidRDefault="005D10B6" w:rsidP="00D2494B">
      <w:pPr>
        <w:spacing w:after="0"/>
        <w:rPr>
          <w:sz w:val="24"/>
          <w:szCs w:val="24"/>
          <w:u w:val="single"/>
        </w:rPr>
      </w:pPr>
    </w:p>
    <w:p w14:paraId="0C6A1630" w14:textId="52A8C1A3" w:rsidR="005D10B6" w:rsidRDefault="005A475D" w:rsidP="00D2494B">
      <w:pPr>
        <w:spacing w:after="0"/>
        <w:rPr>
          <w:sz w:val="24"/>
          <w:szCs w:val="24"/>
        </w:rPr>
      </w:pPr>
      <w:r>
        <w:rPr>
          <w:sz w:val="24"/>
          <w:szCs w:val="24"/>
        </w:rPr>
        <w:t xml:space="preserve">TBLT is underpinned by a psycholinguistic rationale that is </w:t>
      </w:r>
      <w:r w:rsidR="00AE4217">
        <w:rPr>
          <w:sz w:val="24"/>
          <w:szCs w:val="24"/>
        </w:rPr>
        <w:t>evidence-based.</w:t>
      </w:r>
      <w:r>
        <w:rPr>
          <w:sz w:val="24"/>
          <w:szCs w:val="24"/>
        </w:rPr>
        <w:t xml:space="preserve"> </w:t>
      </w:r>
      <w:r w:rsidR="00DE6C7F">
        <w:rPr>
          <w:sz w:val="24"/>
          <w:szCs w:val="24"/>
        </w:rPr>
        <w:t xml:space="preserve">Firstly, in respecting the learner’s internal syllabus and IL development, TBLT is informed by the ‘Processability, Learnability, and Teachability Hypotheses’ of </w:t>
      </w:r>
      <w:proofErr w:type="spellStart"/>
      <w:r w:rsidR="00DE6C7F">
        <w:rPr>
          <w:sz w:val="24"/>
          <w:szCs w:val="24"/>
        </w:rPr>
        <w:t>Pienemann</w:t>
      </w:r>
      <w:proofErr w:type="spellEnd"/>
      <w:r w:rsidR="00DE6C7F">
        <w:rPr>
          <w:sz w:val="24"/>
          <w:szCs w:val="24"/>
        </w:rPr>
        <w:t xml:space="preserve"> (1984), </w:t>
      </w:r>
      <w:r w:rsidR="00204718">
        <w:rPr>
          <w:sz w:val="24"/>
          <w:szCs w:val="24"/>
        </w:rPr>
        <w:t>which demonstrates that what learners can process and learn determines what teachers can teach. In other words, an external, arbitrary, grammatical syllabus will not result in language acquisition.</w:t>
      </w:r>
    </w:p>
    <w:p w14:paraId="2F1959A4" w14:textId="7A90B0BB" w:rsidR="00204718" w:rsidRDefault="00204718" w:rsidP="00D2494B">
      <w:pPr>
        <w:spacing w:after="0"/>
        <w:rPr>
          <w:sz w:val="24"/>
          <w:szCs w:val="24"/>
        </w:rPr>
      </w:pPr>
    </w:p>
    <w:p w14:paraId="1BD8F311" w14:textId="7C00628E" w:rsidR="00204718" w:rsidRDefault="00204718" w:rsidP="00D2494B">
      <w:pPr>
        <w:spacing w:after="0"/>
        <w:rPr>
          <w:sz w:val="24"/>
          <w:szCs w:val="24"/>
        </w:rPr>
      </w:pPr>
      <w:r>
        <w:rPr>
          <w:sz w:val="24"/>
          <w:szCs w:val="24"/>
        </w:rPr>
        <w:t xml:space="preserve">Secondly, TBLT’s ‘weak interface’ position is in line with findings that show that ‘implicit learning is more basic and more important than explicit learning, and superior’ (Long, Lee, &amp; Hillman 2019, p. 506), and that implicit learning is the default mechanism for SLA (Doughty 2003, </w:t>
      </w:r>
      <w:r w:rsidR="00BF0065">
        <w:rPr>
          <w:sz w:val="24"/>
          <w:szCs w:val="24"/>
        </w:rPr>
        <w:t xml:space="preserve">cited </w:t>
      </w:r>
      <w:r>
        <w:rPr>
          <w:sz w:val="24"/>
          <w:szCs w:val="24"/>
        </w:rPr>
        <w:t>in Long</w:t>
      </w:r>
      <w:r w:rsidR="00BF0065">
        <w:rPr>
          <w:sz w:val="24"/>
          <w:szCs w:val="24"/>
        </w:rPr>
        <w:t xml:space="preserve"> 2015,</w:t>
      </w:r>
      <w:r>
        <w:rPr>
          <w:sz w:val="24"/>
          <w:szCs w:val="24"/>
        </w:rPr>
        <w:t xml:space="preserve"> p. 45). The need for some explicit learning opportunities in TBLT to “recruit consciousness” and as an aid to subsequent implicit learning has also been demonstrated by Ellis</w:t>
      </w:r>
      <w:r w:rsidR="00BF0065">
        <w:rPr>
          <w:sz w:val="24"/>
          <w:szCs w:val="24"/>
        </w:rPr>
        <w:t xml:space="preserve"> (2005 cited in </w:t>
      </w:r>
      <w:r>
        <w:rPr>
          <w:sz w:val="24"/>
          <w:szCs w:val="24"/>
        </w:rPr>
        <w:t>Long</w:t>
      </w:r>
      <w:r w:rsidR="00BF0065">
        <w:rPr>
          <w:sz w:val="24"/>
          <w:szCs w:val="24"/>
        </w:rPr>
        <w:t xml:space="preserve"> 2015,</w:t>
      </w:r>
      <w:r>
        <w:rPr>
          <w:sz w:val="24"/>
          <w:szCs w:val="24"/>
        </w:rPr>
        <w:t xml:space="preserve"> p. 50).</w:t>
      </w:r>
    </w:p>
    <w:p w14:paraId="1472BCED" w14:textId="10C67CC2" w:rsidR="00204718" w:rsidRDefault="00204718" w:rsidP="00D2494B">
      <w:pPr>
        <w:spacing w:after="0"/>
        <w:rPr>
          <w:sz w:val="24"/>
          <w:szCs w:val="24"/>
        </w:rPr>
      </w:pPr>
    </w:p>
    <w:p w14:paraId="29ACE759" w14:textId="3F785073" w:rsidR="00204718" w:rsidRDefault="00204718" w:rsidP="00D2494B">
      <w:pPr>
        <w:spacing w:after="0"/>
        <w:rPr>
          <w:sz w:val="24"/>
          <w:szCs w:val="24"/>
        </w:rPr>
      </w:pPr>
      <w:r>
        <w:rPr>
          <w:sz w:val="24"/>
          <w:szCs w:val="24"/>
        </w:rPr>
        <w:t xml:space="preserve">Thirdly, </w:t>
      </w:r>
      <w:r w:rsidR="009650E8">
        <w:rPr>
          <w:sz w:val="24"/>
          <w:szCs w:val="24"/>
        </w:rPr>
        <w:t xml:space="preserve">because adults are “partially disabled” language learners due to maturational constraints, some linguistic features will be “fragile” and therefore need to be learned explicitly. </w:t>
      </w:r>
      <w:r>
        <w:rPr>
          <w:sz w:val="24"/>
          <w:szCs w:val="24"/>
        </w:rPr>
        <w:t>TBLT’s call for a ‘focus on form’ to bring learner attention to non-salient items in the input and allow them to “notice the gap”</w:t>
      </w:r>
      <w:r w:rsidR="009650E8">
        <w:rPr>
          <w:sz w:val="24"/>
          <w:szCs w:val="24"/>
        </w:rPr>
        <w:t xml:space="preserve">. This </w:t>
      </w:r>
      <w:r>
        <w:rPr>
          <w:sz w:val="24"/>
          <w:szCs w:val="24"/>
        </w:rPr>
        <w:t xml:space="preserve">is attested to in the literature, most </w:t>
      </w:r>
      <w:r>
        <w:rPr>
          <w:sz w:val="24"/>
          <w:szCs w:val="24"/>
        </w:rPr>
        <w:lastRenderedPageBreak/>
        <w:t>famously by Schmidt’s (1995) ‘Noticing Hypothesis’, whereby more noticing leads to more learning.</w:t>
      </w:r>
    </w:p>
    <w:p w14:paraId="2922E8B8" w14:textId="3B46B2CF" w:rsidR="00CA41BB" w:rsidRDefault="00CA41BB" w:rsidP="00D2494B">
      <w:pPr>
        <w:spacing w:after="0"/>
        <w:rPr>
          <w:sz w:val="24"/>
          <w:szCs w:val="24"/>
        </w:rPr>
      </w:pPr>
    </w:p>
    <w:p w14:paraId="2246927B" w14:textId="16851FB7" w:rsidR="00CA41BB" w:rsidRDefault="00CA41BB" w:rsidP="00D2494B">
      <w:pPr>
        <w:spacing w:after="0"/>
        <w:rPr>
          <w:sz w:val="24"/>
          <w:szCs w:val="24"/>
        </w:rPr>
      </w:pPr>
      <w:r>
        <w:rPr>
          <w:sz w:val="24"/>
          <w:szCs w:val="24"/>
        </w:rPr>
        <w:t xml:space="preserve">Finally, </w:t>
      </w:r>
      <w:proofErr w:type="gramStart"/>
      <w:r>
        <w:rPr>
          <w:sz w:val="24"/>
          <w:szCs w:val="24"/>
        </w:rPr>
        <w:t>Long</w:t>
      </w:r>
      <w:proofErr w:type="gramEnd"/>
      <w:r>
        <w:rPr>
          <w:sz w:val="24"/>
          <w:szCs w:val="24"/>
        </w:rPr>
        <w:t xml:space="preserve"> (2015) cites numerous studies showing the efficacy of negative feedback, such as recasts, as crucial ways of providing explicit opportunities for learning. They are seen as allowing learners to focus on form in context and at the point of need, which means learners will be motivated to attend to feedback, thereby facilitating form-function mapping, which leads to acquisition.</w:t>
      </w:r>
    </w:p>
    <w:p w14:paraId="0119F008" w14:textId="5B1A0526" w:rsidR="004A28FF" w:rsidRDefault="004A28FF" w:rsidP="00D2494B">
      <w:pPr>
        <w:spacing w:after="0"/>
        <w:rPr>
          <w:sz w:val="24"/>
          <w:szCs w:val="24"/>
        </w:rPr>
      </w:pPr>
    </w:p>
    <w:p w14:paraId="140B729B" w14:textId="48480DEC" w:rsidR="00831D6E" w:rsidRDefault="00D22900" w:rsidP="00D2494B">
      <w:pPr>
        <w:spacing w:after="0"/>
        <w:rPr>
          <w:b/>
          <w:bCs/>
          <w:sz w:val="28"/>
          <w:szCs w:val="28"/>
        </w:rPr>
      </w:pPr>
      <w:r>
        <w:rPr>
          <w:b/>
          <w:bCs/>
          <w:sz w:val="28"/>
          <w:szCs w:val="28"/>
        </w:rPr>
        <w:t>A brief c</w:t>
      </w:r>
      <w:r w:rsidR="00831D6E">
        <w:rPr>
          <w:b/>
          <w:bCs/>
          <w:sz w:val="28"/>
          <w:szCs w:val="28"/>
        </w:rPr>
        <w:t xml:space="preserve">ourse </w:t>
      </w:r>
      <w:proofErr w:type="gramStart"/>
      <w:r w:rsidR="00831D6E">
        <w:rPr>
          <w:b/>
          <w:bCs/>
          <w:sz w:val="28"/>
          <w:szCs w:val="28"/>
        </w:rPr>
        <w:t>outline</w:t>
      </w:r>
      <w:proofErr w:type="gramEnd"/>
    </w:p>
    <w:p w14:paraId="0F4AF260" w14:textId="77777777" w:rsidR="00E42AE6" w:rsidRDefault="00E42AE6" w:rsidP="00D2494B">
      <w:pPr>
        <w:spacing w:after="0"/>
        <w:rPr>
          <w:b/>
          <w:bCs/>
          <w:sz w:val="28"/>
          <w:szCs w:val="28"/>
        </w:rPr>
      </w:pPr>
    </w:p>
    <w:p w14:paraId="4EA88CA8" w14:textId="52F63135" w:rsidR="00AB6895" w:rsidRDefault="0033353D" w:rsidP="00D2494B">
      <w:pPr>
        <w:spacing w:after="0"/>
        <w:rPr>
          <w:sz w:val="24"/>
          <w:szCs w:val="24"/>
        </w:rPr>
      </w:pPr>
      <w:r>
        <w:rPr>
          <w:sz w:val="24"/>
          <w:szCs w:val="24"/>
        </w:rPr>
        <w:t>The teaching context of the IEC, and the average profile of its learners, present an ideal situation for the introduction of TBLT</w:t>
      </w:r>
      <w:r w:rsidR="00696D2F">
        <w:rPr>
          <w:sz w:val="24"/>
          <w:szCs w:val="24"/>
        </w:rPr>
        <w:t>; the needs of the learners are as broad and diverse as the learners themselves.</w:t>
      </w:r>
    </w:p>
    <w:p w14:paraId="49CA9BFD" w14:textId="7CCF1BAA" w:rsidR="000511B0" w:rsidRDefault="000511B0" w:rsidP="00D2494B">
      <w:pPr>
        <w:spacing w:after="0"/>
        <w:rPr>
          <w:sz w:val="24"/>
          <w:szCs w:val="24"/>
        </w:rPr>
      </w:pPr>
    </w:p>
    <w:p w14:paraId="25D659B0" w14:textId="5C4232D8" w:rsidR="000A799F" w:rsidRDefault="000A799F" w:rsidP="00D2494B">
      <w:pPr>
        <w:spacing w:after="0"/>
        <w:rPr>
          <w:b/>
          <w:bCs/>
          <w:i/>
          <w:iCs/>
          <w:sz w:val="24"/>
          <w:szCs w:val="24"/>
        </w:rPr>
      </w:pPr>
      <w:r>
        <w:rPr>
          <w:b/>
          <w:bCs/>
          <w:i/>
          <w:iCs/>
          <w:sz w:val="24"/>
          <w:szCs w:val="24"/>
        </w:rPr>
        <w:t>Description</w:t>
      </w:r>
    </w:p>
    <w:p w14:paraId="72A58107" w14:textId="6B7F96E2" w:rsidR="000A799F" w:rsidRPr="000A799F" w:rsidRDefault="000A799F" w:rsidP="00D2494B">
      <w:pPr>
        <w:spacing w:after="0"/>
        <w:rPr>
          <w:sz w:val="24"/>
          <w:szCs w:val="24"/>
        </w:rPr>
      </w:pPr>
      <w:r>
        <w:rPr>
          <w:sz w:val="24"/>
          <w:szCs w:val="24"/>
        </w:rPr>
        <w:t>The course focuses on the current and future academic, social, and vocational needs of the learners. It involves engaging in a range of real-world tasks within each of these spheres, and in doing so, learners will create and respond to a range of texts that they need in their academic, social, and vocational lives.</w:t>
      </w:r>
    </w:p>
    <w:p w14:paraId="4CCC7F73" w14:textId="77777777" w:rsidR="000A799F" w:rsidRPr="000A799F" w:rsidRDefault="000A799F" w:rsidP="00D2494B">
      <w:pPr>
        <w:spacing w:after="0"/>
        <w:rPr>
          <w:sz w:val="24"/>
          <w:szCs w:val="24"/>
        </w:rPr>
      </w:pPr>
    </w:p>
    <w:p w14:paraId="30653209" w14:textId="18CC5DF4" w:rsidR="000511B0" w:rsidRDefault="00D76199" w:rsidP="00D2494B">
      <w:pPr>
        <w:spacing w:after="0"/>
        <w:rPr>
          <w:b/>
          <w:bCs/>
          <w:i/>
          <w:iCs/>
          <w:sz w:val="24"/>
          <w:szCs w:val="24"/>
        </w:rPr>
      </w:pPr>
      <w:r>
        <w:rPr>
          <w:b/>
          <w:bCs/>
          <w:i/>
          <w:iCs/>
          <w:sz w:val="24"/>
          <w:szCs w:val="24"/>
        </w:rPr>
        <w:t>Objectives</w:t>
      </w:r>
    </w:p>
    <w:p w14:paraId="733D2B3C" w14:textId="3B360176" w:rsidR="000A799F" w:rsidRDefault="000A799F" w:rsidP="00D2494B">
      <w:pPr>
        <w:spacing w:after="0"/>
        <w:rPr>
          <w:sz w:val="24"/>
          <w:szCs w:val="24"/>
        </w:rPr>
      </w:pPr>
      <w:r>
        <w:rPr>
          <w:sz w:val="24"/>
          <w:szCs w:val="24"/>
        </w:rPr>
        <w:t>By the end of the course, students will:</w:t>
      </w:r>
    </w:p>
    <w:p w14:paraId="21E2E2F0" w14:textId="509BEC16" w:rsidR="000A799F" w:rsidRDefault="00742595" w:rsidP="000A799F">
      <w:pPr>
        <w:pStyle w:val="ListParagraph"/>
        <w:numPr>
          <w:ilvl w:val="0"/>
          <w:numId w:val="6"/>
        </w:numPr>
        <w:spacing w:after="0"/>
        <w:rPr>
          <w:sz w:val="24"/>
          <w:szCs w:val="24"/>
        </w:rPr>
      </w:pPr>
      <w:r>
        <w:rPr>
          <w:sz w:val="24"/>
          <w:szCs w:val="24"/>
        </w:rPr>
        <w:t>demonstrate an ability to create and respond to academic texts which are necessary in mainstream classes across all subjects</w:t>
      </w:r>
    </w:p>
    <w:p w14:paraId="08BCD6BF" w14:textId="20824916" w:rsidR="00742595" w:rsidRDefault="00742595" w:rsidP="000A799F">
      <w:pPr>
        <w:pStyle w:val="ListParagraph"/>
        <w:numPr>
          <w:ilvl w:val="0"/>
          <w:numId w:val="6"/>
        </w:numPr>
        <w:spacing w:after="0"/>
        <w:rPr>
          <w:sz w:val="24"/>
          <w:szCs w:val="24"/>
        </w:rPr>
      </w:pPr>
      <w:r>
        <w:rPr>
          <w:sz w:val="24"/>
          <w:szCs w:val="24"/>
        </w:rPr>
        <w:t xml:space="preserve">be able to maintain social connection and engage in </w:t>
      </w:r>
      <w:proofErr w:type="gramStart"/>
      <w:r>
        <w:rPr>
          <w:sz w:val="24"/>
          <w:szCs w:val="24"/>
        </w:rPr>
        <w:t>culturally-appropriate</w:t>
      </w:r>
      <w:proofErr w:type="gramEnd"/>
      <w:r>
        <w:rPr>
          <w:sz w:val="24"/>
          <w:szCs w:val="24"/>
        </w:rPr>
        <w:t xml:space="preserve"> communicative activities</w:t>
      </w:r>
    </w:p>
    <w:p w14:paraId="3AF3C252" w14:textId="4F273946" w:rsidR="000511B0" w:rsidRPr="00742595" w:rsidRDefault="00742595" w:rsidP="00D2494B">
      <w:pPr>
        <w:pStyle w:val="ListParagraph"/>
        <w:numPr>
          <w:ilvl w:val="0"/>
          <w:numId w:val="6"/>
        </w:numPr>
        <w:spacing w:after="0"/>
        <w:rPr>
          <w:sz w:val="24"/>
          <w:szCs w:val="24"/>
        </w:rPr>
      </w:pPr>
      <w:r>
        <w:rPr>
          <w:sz w:val="24"/>
          <w:szCs w:val="24"/>
        </w:rPr>
        <w:t>be able to apply to work and study at Australian workplaces and institutions.</w:t>
      </w:r>
    </w:p>
    <w:p w14:paraId="0855F0BF" w14:textId="77777777" w:rsidR="000511B0" w:rsidRDefault="000511B0" w:rsidP="00D2494B">
      <w:pPr>
        <w:spacing w:after="0"/>
        <w:rPr>
          <w:sz w:val="24"/>
          <w:szCs w:val="24"/>
        </w:rPr>
      </w:pPr>
    </w:p>
    <w:p w14:paraId="12213DB4" w14:textId="45A7F5A6" w:rsidR="0033353D" w:rsidRDefault="00AB6895" w:rsidP="00D2494B">
      <w:pPr>
        <w:spacing w:after="0"/>
        <w:rPr>
          <w:sz w:val="24"/>
          <w:szCs w:val="24"/>
        </w:rPr>
      </w:pPr>
      <w:r>
        <w:rPr>
          <w:sz w:val="24"/>
          <w:szCs w:val="24"/>
        </w:rPr>
        <w:t xml:space="preserve">The table below shows a snapshot of possible </w:t>
      </w:r>
      <w:r w:rsidR="00EA2963">
        <w:rPr>
          <w:sz w:val="24"/>
          <w:szCs w:val="24"/>
        </w:rPr>
        <w:t xml:space="preserve">needs, </w:t>
      </w:r>
      <w:r>
        <w:rPr>
          <w:sz w:val="24"/>
          <w:szCs w:val="24"/>
        </w:rPr>
        <w:t>task types and target tasks</w:t>
      </w:r>
      <w:r w:rsidR="00EA2963">
        <w:rPr>
          <w:sz w:val="24"/>
          <w:szCs w:val="24"/>
        </w:rPr>
        <w:t>.</w:t>
      </w:r>
    </w:p>
    <w:p w14:paraId="5787AD22" w14:textId="0B09C44D" w:rsidR="00EA2963" w:rsidRDefault="00EA2963" w:rsidP="00D2494B">
      <w:pPr>
        <w:spacing w:after="0"/>
        <w:rPr>
          <w:sz w:val="24"/>
          <w:szCs w:val="24"/>
        </w:rPr>
      </w:pPr>
    </w:p>
    <w:tbl>
      <w:tblPr>
        <w:tblStyle w:val="TableGrid"/>
        <w:tblW w:w="9097" w:type="dxa"/>
        <w:tblLook w:val="04A0" w:firstRow="1" w:lastRow="0" w:firstColumn="1" w:lastColumn="0" w:noHBand="0" w:noVBand="1"/>
      </w:tblPr>
      <w:tblGrid>
        <w:gridCol w:w="1555"/>
        <w:gridCol w:w="3543"/>
        <w:gridCol w:w="3999"/>
      </w:tblGrid>
      <w:tr w:rsidR="00EA2963" w14:paraId="764DDDDD" w14:textId="77777777" w:rsidTr="00EA2963">
        <w:trPr>
          <w:trHeight w:val="465"/>
        </w:trPr>
        <w:tc>
          <w:tcPr>
            <w:tcW w:w="1555" w:type="dxa"/>
            <w:shd w:val="clear" w:color="auto" w:fill="D9D9D9" w:themeFill="background1" w:themeFillShade="D9"/>
            <w:vAlign w:val="center"/>
          </w:tcPr>
          <w:p w14:paraId="19CC050A" w14:textId="65DC4917" w:rsidR="00EA2963" w:rsidRPr="00EA2963" w:rsidRDefault="00EA2963" w:rsidP="00EA2963">
            <w:pPr>
              <w:rPr>
                <w:b/>
                <w:bCs/>
                <w:sz w:val="24"/>
                <w:szCs w:val="24"/>
              </w:rPr>
            </w:pPr>
            <w:r w:rsidRPr="00EA2963">
              <w:rPr>
                <w:b/>
                <w:bCs/>
                <w:sz w:val="24"/>
                <w:szCs w:val="24"/>
              </w:rPr>
              <w:t>Need(s)</w:t>
            </w:r>
          </w:p>
        </w:tc>
        <w:tc>
          <w:tcPr>
            <w:tcW w:w="3543" w:type="dxa"/>
            <w:shd w:val="clear" w:color="auto" w:fill="D9D9D9" w:themeFill="background1" w:themeFillShade="D9"/>
            <w:vAlign w:val="center"/>
          </w:tcPr>
          <w:p w14:paraId="42EA127F" w14:textId="6A11FEFB" w:rsidR="00EA2963" w:rsidRPr="00EA2963" w:rsidRDefault="00EA2963" w:rsidP="00EA2963">
            <w:pPr>
              <w:rPr>
                <w:b/>
                <w:bCs/>
                <w:sz w:val="24"/>
                <w:szCs w:val="24"/>
              </w:rPr>
            </w:pPr>
            <w:r w:rsidRPr="00EA2963">
              <w:rPr>
                <w:b/>
                <w:bCs/>
                <w:sz w:val="24"/>
                <w:szCs w:val="24"/>
              </w:rPr>
              <w:t>Possible Task Type</w:t>
            </w:r>
          </w:p>
        </w:tc>
        <w:tc>
          <w:tcPr>
            <w:tcW w:w="3999" w:type="dxa"/>
            <w:shd w:val="clear" w:color="auto" w:fill="D9D9D9" w:themeFill="background1" w:themeFillShade="D9"/>
            <w:vAlign w:val="center"/>
          </w:tcPr>
          <w:p w14:paraId="28D45F04" w14:textId="4A643BEB" w:rsidR="00EA2963" w:rsidRPr="00EA2963" w:rsidRDefault="00EA2963" w:rsidP="00EA2963">
            <w:pPr>
              <w:rPr>
                <w:b/>
                <w:bCs/>
                <w:sz w:val="24"/>
                <w:szCs w:val="24"/>
              </w:rPr>
            </w:pPr>
            <w:r w:rsidRPr="00EA2963">
              <w:rPr>
                <w:b/>
                <w:bCs/>
                <w:sz w:val="24"/>
                <w:szCs w:val="24"/>
              </w:rPr>
              <w:t>Possible Target Tasks</w:t>
            </w:r>
          </w:p>
        </w:tc>
      </w:tr>
      <w:tr w:rsidR="00EA2963" w14:paraId="1A204CA3" w14:textId="77777777" w:rsidTr="000511B0">
        <w:trPr>
          <w:trHeight w:val="595"/>
        </w:trPr>
        <w:tc>
          <w:tcPr>
            <w:tcW w:w="1555" w:type="dxa"/>
            <w:vMerge w:val="restart"/>
            <w:vAlign w:val="center"/>
          </w:tcPr>
          <w:p w14:paraId="24455715" w14:textId="720CC954" w:rsidR="00EA2963" w:rsidRPr="0023755C" w:rsidRDefault="00EA2963" w:rsidP="000511B0">
            <w:pPr>
              <w:rPr>
                <w:b/>
                <w:bCs/>
                <w:sz w:val="24"/>
                <w:szCs w:val="24"/>
              </w:rPr>
            </w:pPr>
            <w:r w:rsidRPr="0023755C">
              <w:rPr>
                <w:b/>
                <w:bCs/>
                <w:sz w:val="24"/>
                <w:szCs w:val="24"/>
              </w:rPr>
              <w:t>Academic</w:t>
            </w:r>
          </w:p>
        </w:tc>
        <w:tc>
          <w:tcPr>
            <w:tcW w:w="3543" w:type="dxa"/>
            <w:vAlign w:val="center"/>
          </w:tcPr>
          <w:p w14:paraId="132A7468" w14:textId="0DF77C08" w:rsidR="00EA2963" w:rsidRDefault="0023755C" w:rsidP="0023755C">
            <w:pPr>
              <w:rPr>
                <w:sz w:val="24"/>
                <w:szCs w:val="24"/>
              </w:rPr>
            </w:pPr>
            <w:r>
              <w:rPr>
                <w:sz w:val="24"/>
                <w:szCs w:val="24"/>
              </w:rPr>
              <w:t>Writing &amp; Responding</w:t>
            </w:r>
          </w:p>
        </w:tc>
        <w:tc>
          <w:tcPr>
            <w:tcW w:w="3999" w:type="dxa"/>
          </w:tcPr>
          <w:p w14:paraId="64E72134" w14:textId="77777777" w:rsidR="0023755C" w:rsidRDefault="0023755C" w:rsidP="00D2494B">
            <w:pPr>
              <w:rPr>
                <w:sz w:val="24"/>
                <w:szCs w:val="24"/>
              </w:rPr>
            </w:pPr>
          </w:p>
          <w:p w14:paraId="1B286A7E" w14:textId="5AC2FC2A" w:rsidR="0023755C" w:rsidRDefault="0023755C" w:rsidP="00D2494B">
            <w:pPr>
              <w:rPr>
                <w:sz w:val="24"/>
                <w:szCs w:val="24"/>
              </w:rPr>
            </w:pPr>
            <w:r>
              <w:rPr>
                <w:sz w:val="24"/>
                <w:szCs w:val="24"/>
              </w:rPr>
              <w:t>Planning and writing a short essay</w:t>
            </w:r>
          </w:p>
          <w:p w14:paraId="0550B3E0" w14:textId="1159A285" w:rsidR="0023755C" w:rsidRDefault="0023755C" w:rsidP="00D2494B">
            <w:pPr>
              <w:rPr>
                <w:sz w:val="24"/>
                <w:szCs w:val="24"/>
              </w:rPr>
            </w:pPr>
            <w:r>
              <w:rPr>
                <w:sz w:val="24"/>
                <w:szCs w:val="24"/>
              </w:rPr>
              <w:t>Writing various text types for other subjects (e.g. science experiments</w:t>
            </w:r>
            <w:r w:rsidR="000511B0">
              <w:rPr>
                <w:sz w:val="24"/>
                <w:szCs w:val="24"/>
              </w:rPr>
              <w:t>, history recounts)</w:t>
            </w:r>
          </w:p>
          <w:p w14:paraId="5EC080F6" w14:textId="35731639" w:rsidR="0023755C" w:rsidRDefault="0023755C" w:rsidP="00D2494B">
            <w:pPr>
              <w:rPr>
                <w:sz w:val="24"/>
                <w:szCs w:val="24"/>
              </w:rPr>
            </w:pPr>
          </w:p>
        </w:tc>
      </w:tr>
      <w:tr w:rsidR="00EA2963" w14:paraId="30352A6B" w14:textId="77777777" w:rsidTr="000511B0">
        <w:trPr>
          <w:trHeight w:val="594"/>
        </w:trPr>
        <w:tc>
          <w:tcPr>
            <w:tcW w:w="1555" w:type="dxa"/>
            <w:vMerge/>
            <w:vAlign w:val="center"/>
          </w:tcPr>
          <w:p w14:paraId="702AB592" w14:textId="77777777" w:rsidR="00EA2963" w:rsidRPr="0023755C" w:rsidRDefault="00EA2963" w:rsidP="000511B0">
            <w:pPr>
              <w:rPr>
                <w:b/>
                <w:bCs/>
                <w:sz w:val="24"/>
                <w:szCs w:val="24"/>
              </w:rPr>
            </w:pPr>
          </w:p>
        </w:tc>
        <w:tc>
          <w:tcPr>
            <w:tcW w:w="3543" w:type="dxa"/>
            <w:vAlign w:val="center"/>
          </w:tcPr>
          <w:p w14:paraId="318493DB" w14:textId="61FFFCD3" w:rsidR="00EA2963" w:rsidRDefault="0023755C" w:rsidP="0023755C">
            <w:pPr>
              <w:rPr>
                <w:sz w:val="24"/>
                <w:szCs w:val="24"/>
              </w:rPr>
            </w:pPr>
            <w:r>
              <w:rPr>
                <w:sz w:val="24"/>
                <w:szCs w:val="24"/>
              </w:rPr>
              <w:t>Reading &amp; Viewing</w:t>
            </w:r>
          </w:p>
        </w:tc>
        <w:tc>
          <w:tcPr>
            <w:tcW w:w="3999" w:type="dxa"/>
          </w:tcPr>
          <w:p w14:paraId="020F23FC" w14:textId="77777777" w:rsidR="0023755C" w:rsidRDefault="0023755C" w:rsidP="00D2494B">
            <w:pPr>
              <w:rPr>
                <w:sz w:val="24"/>
                <w:szCs w:val="24"/>
              </w:rPr>
            </w:pPr>
          </w:p>
          <w:p w14:paraId="77E635FE" w14:textId="11F1BDE8" w:rsidR="00EA2963" w:rsidRDefault="0023755C" w:rsidP="00D2494B">
            <w:pPr>
              <w:rPr>
                <w:sz w:val="24"/>
                <w:szCs w:val="24"/>
              </w:rPr>
            </w:pPr>
            <w:r>
              <w:rPr>
                <w:sz w:val="24"/>
                <w:szCs w:val="24"/>
              </w:rPr>
              <w:t>Sharing your opinion</w:t>
            </w:r>
          </w:p>
          <w:p w14:paraId="4B8C3310" w14:textId="77777777" w:rsidR="0023755C" w:rsidRDefault="0023755C" w:rsidP="00D2494B">
            <w:pPr>
              <w:rPr>
                <w:sz w:val="24"/>
                <w:szCs w:val="24"/>
              </w:rPr>
            </w:pPr>
            <w:r>
              <w:rPr>
                <w:sz w:val="24"/>
                <w:szCs w:val="24"/>
              </w:rPr>
              <w:t>Giving recommendations</w:t>
            </w:r>
          </w:p>
          <w:p w14:paraId="61D35CA3" w14:textId="77777777" w:rsidR="0023755C" w:rsidRDefault="0023755C" w:rsidP="00D2494B">
            <w:pPr>
              <w:rPr>
                <w:sz w:val="24"/>
                <w:szCs w:val="24"/>
              </w:rPr>
            </w:pPr>
            <w:r>
              <w:rPr>
                <w:sz w:val="24"/>
                <w:szCs w:val="24"/>
              </w:rPr>
              <w:t>Synthesizing and summarizing texts</w:t>
            </w:r>
          </w:p>
          <w:p w14:paraId="46290F1A" w14:textId="5B6C38FE" w:rsidR="0023755C" w:rsidRDefault="0023755C" w:rsidP="00D2494B">
            <w:pPr>
              <w:rPr>
                <w:sz w:val="24"/>
                <w:szCs w:val="24"/>
              </w:rPr>
            </w:pPr>
          </w:p>
        </w:tc>
      </w:tr>
      <w:tr w:rsidR="0023755C" w14:paraId="04758F37" w14:textId="77777777" w:rsidTr="000511B0">
        <w:trPr>
          <w:trHeight w:val="1199"/>
        </w:trPr>
        <w:tc>
          <w:tcPr>
            <w:tcW w:w="1555" w:type="dxa"/>
            <w:vMerge/>
            <w:vAlign w:val="center"/>
          </w:tcPr>
          <w:p w14:paraId="113E9DB7" w14:textId="77777777" w:rsidR="0023755C" w:rsidRPr="0023755C" w:rsidRDefault="0023755C" w:rsidP="000511B0">
            <w:pPr>
              <w:rPr>
                <w:b/>
                <w:bCs/>
                <w:sz w:val="24"/>
                <w:szCs w:val="24"/>
              </w:rPr>
            </w:pPr>
          </w:p>
        </w:tc>
        <w:tc>
          <w:tcPr>
            <w:tcW w:w="3543" w:type="dxa"/>
            <w:vAlign w:val="center"/>
          </w:tcPr>
          <w:p w14:paraId="2A3535FF" w14:textId="6EA38436" w:rsidR="0023755C" w:rsidRDefault="0023755C" w:rsidP="0023755C">
            <w:pPr>
              <w:rPr>
                <w:sz w:val="24"/>
                <w:szCs w:val="24"/>
              </w:rPr>
            </w:pPr>
            <w:r>
              <w:rPr>
                <w:sz w:val="24"/>
                <w:szCs w:val="24"/>
              </w:rPr>
              <w:t>Speaking &amp; Listening</w:t>
            </w:r>
          </w:p>
        </w:tc>
        <w:tc>
          <w:tcPr>
            <w:tcW w:w="3999" w:type="dxa"/>
          </w:tcPr>
          <w:p w14:paraId="7E844BEF" w14:textId="77777777" w:rsidR="0023755C" w:rsidRDefault="0023755C" w:rsidP="00D2494B">
            <w:pPr>
              <w:rPr>
                <w:sz w:val="24"/>
                <w:szCs w:val="24"/>
              </w:rPr>
            </w:pPr>
          </w:p>
          <w:p w14:paraId="12A397FC" w14:textId="77777777" w:rsidR="0023755C" w:rsidRDefault="0023755C" w:rsidP="00D2494B">
            <w:pPr>
              <w:rPr>
                <w:sz w:val="24"/>
                <w:szCs w:val="24"/>
              </w:rPr>
            </w:pPr>
            <w:r>
              <w:rPr>
                <w:sz w:val="24"/>
                <w:szCs w:val="24"/>
              </w:rPr>
              <w:t>Discussing issues with classmates</w:t>
            </w:r>
          </w:p>
          <w:p w14:paraId="468D085A" w14:textId="77777777" w:rsidR="0023755C" w:rsidRDefault="0023755C" w:rsidP="00D2494B">
            <w:pPr>
              <w:rPr>
                <w:sz w:val="24"/>
                <w:szCs w:val="24"/>
              </w:rPr>
            </w:pPr>
            <w:r>
              <w:rPr>
                <w:sz w:val="24"/>
                <w:szCs w:val="24"/>
              </w:rPr>
              <w:t>Giving presentations</w:t>
            </w:r>
          </w:p>
          <w:p w14:paraId="1CF5B1E9" w14:textId="77777777" w:rsidR="000511B0" w:rsidRDefault="000511B0" w:rsidP="00D2494B">
            <w:pPr>
              <w:rPr>
                <w:sz w:val="24"/>
                <w:szCs w:val="24"/>
              </w:rPr>
            </w:pPr>
            <w:r>
              <w:rPr>
                <w:sz w:val="24"/>
                <w:szCs w:val="24"/>
              </w:rPr>
              <w:t>Listening to a teacher during direct instruction</w:t>
            </w:r>
          </w:p>
          <w:p w14:paraId="56653A2C" w14:textId="2DC5EBD9" w:rsidR="000511B0" w:rsidRDefault="000511B0" w:rsidP="00D2494B">
            <w:pPr>
              <w:rPr>
                <w:sz w:val="24"/>
                <w:szCs w:val="24"/>
              </w:rPr>
            </w:pPr>
          </w:p>
        </w:tc>
      </w:tr>
      <w:tr w:rsidR="0023755C" w14:paraId="4BA84F80" w14:textId="77777777" w:rsidTr="000511B0">
        <w:trPr>
          <w:trHeight w:val="1199"/>
        </w:trPr>
        <w:tc>
          <w:tcPr>
            <w:tcW w:w="1555" w:type="dxa"/>
            <w:vMerge w:val="restart"/>
            <w:vAlign w:val="center"/>
          </w:tcPr>
          <w:p w14:paraId="6428D8F0" w14:textId="7B85C040" w:rsidR="0023755C" w:rsidRPr="0023755C" w:rsidRDefault="0023755C" w:rsidP="000511B0">
            <w:pPr>
              <w:rPr>
                <w:b/>
                <w:bCs/>
                <w:sz w:val="24"/>
                <w:szCs w:val="24"/>
              </w:rPr>
            </w:pPr>
            <w:r w:rsidRPr="0023755C">
              <w:rPr>
                <w:b/>
                <w:bCs/>
                <w:sz w:val="24"/>
                <w:szCs w:val="24"/>
              </w:rPr>
              <w:t>Social</w:t>
            </w:r>
          </w:p>
        </w:tc>
        <w:tc>
          <w:tcPr>
            <w:tcW w:w="3543" w:type="dxa"/>
            <w:vAlign w:val="center"/>
          </w:tcPr>
          <w:p w14:paraId="53BB4941" w14:textId="77777777" w:rsidR="000511B0" w:rsidRDefault="000511B0" w:rsidP="0023755C">
            <w:pPr>
              <w:rPr>
                <w:sz w:val="24"/>
                <w:szCs w:val="24"/>
              </w:rPr>
            </w:pPr>
          </w:p>
          <w:p w14:paraId="69B52600" w14:textId="24866AC8" w:rsidR="0023755C" w:rsidRDefault="0023755C" w:rsidP="0023755C">
            <w:pPr>
              <w:rPr>
                <w:sz w:val="24"/>
                <w:szCs w:val="24"/>
              </w:rPr>
            </w:pPr>
            <w:r>
              <w:rPr>
                <w:sz w:val="24"/>
                <w:szCs w:val="24"/>
              </w:rPr>
              <w:t>Completing/understanding forms</w:t>
            </w:r>
          </w:p>
          <w:p w14:paraId="0E175338" w14:textId="7947688F" w:rsidR="0023755C" w:rsidRDefault="0023755C" w:rsidP="0023755C">
            <w:pPr>
              <w:rPr>
                <w:sz w:val="24"/>
                <w:szCs w:val="24"/>
              </w:rPr>
            </w:pPr>
          </w:p>
        </w:tc>
        <w:tc>
          <w:tcPr>
            <w:tcW w:w="3999" w:type="dxa"/>
            <w:vAlign w:val="center"/>
          </w:tcPr>
          <w:p w14:paraId="4D15766D" w14:textId="0A3452F5" w:rsidR="0023755C" w:rsidRDefault="0023755C" w:rsidP="0023755C">
            <w:pPr>
              <w:rPr>
                <w:sz w:val="24"/>
                <w:szCs w:val="24"/>
              </w:rPr>
            </w:pPr>
            <w:r>
              <w:rPr>
                <w:sz w:val="24"/>
                <w:szCs w:val="24"/>
              </w:rPr>
              <w:t>Paying a bill</w:t>
            </w:r>
          </w:p>
          <w:p w14:paraId="4455EA37" w14:textId="234AD1E7" w:rsidR="0023755C" w:rsidRDefault="0023755C" w:rsidP="0023755C">
            <w:pPr>
              <w:rPr>
                <w:sz w:val="24"/>
                <w:szCs w:val="24"/>
              </w:rPr>
            </w:pPr>
            <w:r>
              <w:rPr>
                <w:sz w:val="24"/>
                <w:szCs w:val="24"/>
              </w:rPr>
              <w:t>Opening a bank account</w:t>
            </w:r>
          </w:p>
          <w:p w14:paraId="2FE051A1" w14:textId="3E8CC3F1" w:rsidR="0023755C" w:rsidRDefault="0023755C" w:rsidP="0023755C">
            <w:pPr>
              <w:rPr>
                <w:sz w:val="24"/>
                <w:szCs w:val="24"/>
              </w:rPr>
            </w:pPr>
            <w:r>
              <w:rPr>
                <w:sz w:val="24"/>
                <w:szCs w:val="24"/>
              </w:rPr>
              <w:t>Sharing medical information</w:t>
            </w:r>
          </w:p>
        </w:tc>
      </w:tr>
      <w:tr w:rsidR="00EA2963" w14:paraId="5F6A48D3" w14:textId="77777777" w:rsidTr="0023755C">
        <w:trPr>
          <w:trHeight w:val="595"/>
        </w:trPr>
        <w:tc>
          <w:tcPr>
            <w:tcW w:w="1555" w:type="dxa"/>
            <w:vMerge/>
          </w:tcPr>
          <w:p w14:paraId="65CD67FB" w14:textId="77777777" w:rsidR="00EA2963" w:rsidRDefault="00EA2963" w:rsidP="00D2494B">
            <w:pPr>
              <w:rPr>
                <w:sz w:val="24"/>
                <w:szCs w:val="24"/>
              </w:rPr>
            </w:pPr>
          </w:p>
        </w:tc>
        <w:tc>
          <w:tcPr>
            <w:tcW w:w="3543" w:type="dxa"/>
            <w:vAlign w:val="center"/>
          </w:tcPr>
          <w:p w14:paraId="141AEC24" w14:textId="2FC2DD42" w:rsidR="00EA2963" w:rsidRDefault="00EA2963" w:rsidP="0023755C">
            <w:pPr>
              <w:rPr>
                <w:sz w:val="24"/>
                <w:szCs w:val="24"/>
              </w:rPr>
            </w:pPr>
            <w:r>
              <w:rPr>
                <w:sz w:val="24"/>
                <w:szCs w:val="24"/>
              </w:rPr>
              <w:t>Making inquiries</w:t>
            </w:r>
          </w:p>
        </w:tc>
        <w:tc>
          <w:tcPr>
            <w:tcW w:w="3999" w:type="dxa"/>
            <w:vAlign w:val="center"/>
          </w:tcPr>
          <w:p w14:paraId="1D26BFC3" w14:textId="77777777" w:rsidR="0023755C" w:rsidRDefault="0023755C" w:rsidP="0023755C">
            <w:pPr>
              <w:rPr>
                <w:sz w:val="24"/>
                <w:szCs w:val="24"/>
              </w:rPr>
            </w:pPr>
          </w:p>
          <w:p w14:paraId="35A292FD" w14:textId="25573205" w:rsidR="00EA2963" w:rsidRDefault="00EA2963" w:rsidP="0023755C">
            <w:pPr>
              <w:rPr>
                <w:sz w:val="24"/>
                <w:szCs w:val="24"/>
              </w:rPr>
            </w:pPr>
            <w:r>
              <w:rPr>
                <w:sz w:val="24"/>
                <w:szCs w:val="24"/>
              </w:rPr>
              <w:t>Calling to book a driving lesson</w:t>
            </w:r>
          </w:p>
          <w:p w14:paraId="19829E4E" w14:textId="222EEEB1" w:rsidR="00EA2963" w:rsidRDefault="00EA2963" w:rsidP="0023755C">
            <w:pPr>
              <w:rPr>
                <w:sz w:val="24"/>
                <w:szCs w:val="24"/>
              </w:rPr>
            </w:pPr>
            <w:r>
              <w:rPr>
                <w:sz w:val="24"/>
                <w:szCs w:val="24"/>
              </w:rPr>
              <w:t>Asking about swimming lessons</w:t>
            </w:r>
          </w:p>
          <w:p w14:paraId="46310252" w14:textId="77777777" w:rsidR="00EA2963" w:rsidRDefault="0023755C" w:rsidP="0023755C">
            <w:pPr>
              <w:rPr>
                <w:sz w:val="24"/>
                <w:szCs w:val="24"/>
              </w:rPr>
            </w:pPr>
            <w:r>
              <w:rPr>
                <w:sz w:val="24"/>
                <w:szCs w:val="24"/>
              </w:rPr>
              <w:t>Enrolling a child at school</w:t>
            </w:r>
          </w:p>
          <w:p w14:paraId="67E1E064" w14:textId="3945CF5D" w:rsidR="0023755C" w:rsidRDefault="0023755C" w:rsidP="0023755C">
            <w:pPr>
              <w:rPr>
                <w:sz w:val="24"/>
                <w:szCs w:val="24"/>
              </w:rPr>
            </w:pPr>
          </w:p>
        </w:tc>
      </w:tr>
      <w:tr w:rsidR="00EA2963" w14:paraId="643EA5EE" w14:textId="77777777" w:rsidTr="0023755C">
        <w:trPr>
          <w:trHeight w:val="594"/>
        </w:trPr>
        <w:tc>
          <w:tcPr>
            <w:tcW w:w="1555" w:type="dxa"/>
            <w:vMerge/>
          </w:tcPr>
          <w:p w14:paraId="22DE5AF4" w14:textId="77777777" w:rsidR="00EA2963" w:rsidRDefault="00EA2963" w:rsidP="00D2494B">
            <w:pPr>
              <w:rPr>
                <w:sz w:val="24"/>
                <w:szCs w:val="24"/>
              </w:rPr>
            </w:pPr>
          </w:p>
        </w:tc>
        <w:tc>
          <w:tcPr>
            <w:tcW w:w="3543" w:type="dxa"/>
            <w:vAlign w:val="center"/>
          </w:tcPr>
          <w:p w14:paraId="4753FD4F" w14:textId="4DD28622" w:rsidR="00EA2963" w:rsidRDefault="0023755C" w:rsidP="0023755C">
            <w:pPr>
              <w:rPr>
                <w:sz w:val="24"/>
                <w:szCs w:val="24"/>
              </w:rPr>
            </w:pPr>
            <w:r>
              <w:rPr>
                <w:sz w:val="24"/>
                <w:szCs w:val="24"/>
              </w:rPr>
              <w:t>Extending invitations</w:t>
            </w:r>
          </w:p>
        </w:tc>
        <w:tc>
          <w:tcPr>
            <w:tcW w:w="3999" w:type="dxa"/>
            <w:vAlign w:val="center"/>
          </w:tcPr>
          <w:p w14:paraId="7FB6DD5D" w14:textId="77777777" w:rsidR="0023755C" w:rsidRDefault="0023755C" w:rsidP="0023755C">
            <w:pPr>
              <w:rPr>
                <w:sz w:val="24"/>
                <w:szCs w:val="24"/>
              </w:rPr>
            </w:pPr>
          </w:p>
          <w:p w14:paraId="18766BAE" w14:textId="2D06FA23" w:rsidR="00EA2963" w:rsidRDefault="0023755C" w:rsidP="0023755C">
            <w:pPr>
              <w:rPr>
                <w:sz w:val="24"/>
                <w:szCs w:val="24"/>
              </w:rPr>
            </w:pPr>
            <w:r>
              <w:rPr>
                <w:sz w:val="24"/>
                <w:szCs w:val="24"/>
              </w:rPr>
              <w:t xml:space="preserve">Telling a </w:t>
            </w:r>
            <w:proofErr w:type="gramStart"/>
            <w:r>
              <w:rPr>
                <w:sz w:val="24"/>
                <w:szCs w:val="24"/>
              </w:rPr>
              <w:t>neighbour</w:t>
            </w:r>
            <w:proofErr w:type="gramEnd"/>
            <w:r>
              <w:rPr>
                <w:sz w:val="24"/>
                <w:szCs w:val="24"/>
              </w:rPr>
              <w:t xml:space="preserve"> you’re having a party</w:t>
            </w:r>
          </w:p>
          <w:p w14:paraId="173CF136" w14:textId="77777777" w:rsidR="0023755C" w:rsidRDefault="0023755C" w:rsidP="0023755C">
            <w:pPr>
              <w:rPr>
                <w:sz w:val="24"/>
                <w:szCs w:val="24"/>
              </w:rPr>
            </w:pPr>
            <w:r>
              <w:rPr>
                <w:sz w:val="24"/>
                <w:szCs w:val="24"/>
              </w:rPr>
              <w:t>Inviting a friend to a birthday dinner</w:t>
            </w:r>
          </w:p>
          <w:p w14:paraId="75147630" w14:textId="77777777" w:rsidR="0023755C" w:rsidRDefault="0023755C" w:rsidP="0023755C">
            <w:pPr>
              <w:rPr>
                <w:sz w:val="24"/>
                <w:szCs w:val="24"/>
              </w:rPr>
            </w:pPr>
            <w:r>
              <w:rPr>
                <w:sz w:val="24"/>
                <w:szCs w:val="24"/>
              </w:rPr>
              <w:t>Reading documents from school</w:t>
            </w:r>
          </w:p>
          <w:p w14:paraId="7C29A227" w14:textId="6132CDF7" w:rsidR="0023755C" w:rsidRDefault="0023755C" w:rsidP="0023755C">
            <w:pPr>
              <w:rPr>
                <w:sz w:val="24"/>
                <w:szCs w:val="24"/>
              </w:rPr>
            </w:pPr>
          </w:p>
        </w:tc>
      </w:tr>
      <w:tr w:rsidR="00F26FA7" w14:paraId="5F17EEEF" w14:textId="77777777" w:rsidTr="00F26FA7">
        <w:trPr>
          <w:trHeight w:val="1424"/>
        </w:trPr>
        <w:tc>
          <w:tcPr>
            <w:tcW w:w="1555" w:type="dxa"/>
            <w:vMerge w:val="restart"/>
            <w:vAlign w:val="center"/>
          </w:tcPr>
          <w:p w14:paraId="12FEBC51" w14:textId="1C87C152" w:rsidR="00742595" w:rsidRPr="0023755C" w:rsidRDefault="00F26FA7" w:rsidP="00F26FA7">
            <w:pPr>
              <w:rPr>
                <w:b/>
                <w:bCs/>
                <w:sz w:val="24"/>
                <w:szCs w:val="24"/>
              </w:rPr>
            </w:pPr>
            <w:r w:rsidRPr="0023755C">
              <w:rPr>
                <w:b/>
                <w:bCs/>
                <w:sz w:val="24"/>
                <w:szCs w:val="24"/>
              </w:rPr>
              <w:t>Vocationa</w:t>
            </w:r>
            <w:r w:rsidR="00742595">
              <w:rPr>
                <w:b/>
                <w:bCs/>
                <w:sz w:val="24"/>
                <w:szCs w:val="24"/>
              </w:rPr>
              <w:t>l</w:t>
            </w:r>
          </w:p>
        </w:tc>
        <w:tc>
          <w:tcPr>
            <w:tcW w:w="3543" w:type="dxa"/>
            <w:vAlign w:val="center"/>
          </w:tcPr>
          <w:p w14:paraId="518B2898" w14:textId="34021B95" w:rsidR="00F26FA7" w:rsidRDefault="00F26FA7" w:rsidP="00F26FA7">
            <w:pPr>
              <w:rPr>
                <w:sz w:val="24"/>
                <w:szCs w:val="24"/>
              </w:rPr>
            </w:pPr>
            <w:r>
              <w:rPr>
                <w:sz w:val="24"/>
                <w:szCs w:val="24"/>
              </w:rPr>
              <w:t>Completing/understanding forms</w:t>
            </w:r>
          </w:p>
        </w:tc>
        <w:tc>
          <w:tcPr>
            <w:tcW w:w="3999" w:type="dxa"/>
            <w:vAlign w:val="center"/>
          </w:tcPr>
          <w:p w14:paraId="2F2E67C0" w14:textId="77777777" w:rsidR="009A6DE2" w:rsidRDefault="009A6DE2" w:rsidP="00F26FA7">
            <w:pPr>
              <w:rPr>
                <w:sz w:val="24"/>
                <w:szCs w:val="24"/>
              </w:rPr>
            </w:pPr>
          </w:p>
          <w:p w14:paraId="4FE8EA9C" w14:textId="0DFB01C3" w:rsidR="00F26FA7" w:rsidRDefault="00F26FA7" w:rsidP="00F26FA7">
            <w:pPr>
              <w:rPr>
                <w:sz w:val="24"/>
                <w:szCs w:val="24"/>
              </w:rPr>
            </w:pPr>
            <w:r>
              <w:rPr>
                <w:sz w:val="24"/>
                <w:szCs w:val="24"/>
              </w:rPr>
              <w:t>Applying to TAFE (college)</w:t>
            </w:r>
          </w:p>
          <w:p w14:paraId="717F3BE7" w14:textId="55822267" w:rsidR="008B3F74" w:rsidRDefault="008B3F74" w:rsidP="00F26FA7">
            <w:pPr>
              <w:rPr>
                <w:sz w:val="24"/>
                <w:szCs w:val="24"/>
              </w:rPr>
            </w:pPr>
            <w:r>
              <w:rPr>
                <w:sz w:val="24"/>
                <w:szCs w:val="24"/>
              </w:rPr>
              <w:t>Reading and responding to casual and formal emails</w:t>
            </w:r>
          </w:p>
          <w:p w14:paraId="62A13FC2" w14:textId="77777777" w:rsidR="00F26FA7" w:rsidRDefault="00F26FA7" w:rsidP="009A6DE2">
            <w:pPr>
              <w:rPr>
                <w:sz w:val="24"/>
                <w:szCs w:val="24"/>
              </w:rPr>
            </w:pPr>
          </w:p>
        </w:tc>
      </w:tr>
      <w:tr w:rsidR="000511B0" w14:paraId="428BB96C" w14:textId="77777777" w:rsidTr="009A6DE2">
        <w:trPr>
          <w:trHeight w:val="1080"/>
        </w:trPr>
        <w:tc>
          <w:tcPr>
            <w:tcW w:w="1555" w:type="dxa"/>
            <w:vMerge/>
          </w:tcPr>
          <w:p w14:paraId="5DDE203A" w14:textId="77777777" w:rsidR="000511B0" w:rsidRDefault="000511B0" w:rsidP="00D2494B">
            <w:pPr>
              <w:rPr>
                <w:sz w:val="24"/>
                <w:szCs w:val="24"/>
              </w:rPr>
            </w:pPr>
          </w:p>
        </w:tc>
        <w:tc>
          <w:tcPr>
            <w:tcW w:w="3543" w:type="dxa"/>
            <w:vAlign w:val="center"/>
          </w:tcPr>
          <w:p w14:paraId="2D874489" w14:textId="3D1B3201" w:rsidR="000511B0" w:rsidRDefault="009A6DE2" w:rsidP="009A6DE2">
            <w:pPr>
              <w:rPr>
                <w:sz w:val="24"/>
                <w:szCs w:val="24"/>
              </w:rPr>
            </w:pPr>
            <w:r>
              <w:rPr>
                <w:sz w:val="24"/>
                <w:szCs w:val="24"/>
              </w:rPr>
              <w:t>Applying for a job</w:t>
            </w:r>
          </w:p>
        </w:tc>
        <w:tc>
          <w:tcPr>
            <w:tcW w:w="3999" w:type="dxa"/>
          </w:tcPr>
          <w:p w14:paraId="0B96A927" w14:textId="77777777" w:rsidR="009A6DE2" w:rsidRDefault="009A6DE2" w:rsidP="00D2494B">
            <w:pPr>
              <w:rPr>
                <w:sz w:val="24"/>
                <w:szCs w:val="24"/>
              </w:rPr>
            </w:pPr>
          </w:p>
          <w:p w14:paraId="581DC770" w14:textId="27232D89" w:rsidR="000511B0" w:rsidRDefault="009A6DE2" w:rsidP="00D2494B">
            <w:pPr>
              <w:rPr>
                <w:sz w:val="24"/>
                <w:szCs w:val="24"/>
              </w:rPr>
            </w:pPr>
            <w:r>
              <w:rPr>
                <w:sz w:val="24"/>
                <w:szCs w:val="24"/>
              </w:rPr>
              <w:t>Completing an online application</w:t>
            </w:r>
          </w:p>
          <w:p w14:paraId="01B87813" w14:textId="77777777" w:rsidR="009A6DE2" w:rsidRDefault="009A6DE2" w:rsidP="00D2494B">
            <w:pPr>
              <w:rPr>
                <w:sz w:val="24"/>
                <w:szCs w:val="24"/>
              </w:rPr>
            </w:pPr>
            <w:r>
              <w:rPr>
                <w:sz w:val="24"/>
                <w:szCs w:val="24"/>
              </w:rPr>
              <w:t>Writing a resume and cover letter</w:t>
            </w:r>
          </w:p>
          <w:p w14:paraId="0258DD50" w14:textId="77777777" w:rsidR="009A6DE2" w:rsidRDefault="009A6DE2" w:rsidP="00D2494B">
            <w:pPr>
              <w:rPr>
                <w:sz w:val="24"/>
                <w:szCs w:val="24"/>
              </w:rPr>
            </w:pPr>
            <w:r>
              <w:rPr>
                <w:sz w:val="24"/>
                <w:szCs w:val="24"/>
              </w:rPr>
              <w:t>Asking someone to be a reference</w:t>
            </w:r>
          </w:p>
          <w:p w14:paraId="395D1216" w14:textId="55E66260" w:rsidR="009A6DE2" w:rsidRDefault="009A6DE2" w:rsidP="00D2494B">
            <w:pPr>
              <w:rPr>
                <w:sz w:val="24"/>
                <w:szCs w:val="24"/>
              </w:rPr>
            </w:pPr>
          </w:p>
        </w:tc>
      </w:tr>
    </w:tbl>
    <w:p w14:paraId="4FFA103A" w14:textId="77777777" w:rsidR="000A799F" w:rsidRDefault="000A799F" w:rsidP="00D2494B">
      <w:pPr>
        <w:spacing w:after="0"/>
        <w:rPr>
          <w:b/>
          <w:bCs/>
          <w:sz w:val="28"/>
          <w:szCs w:val="28"/>
        </w:rPr>
      </w:pPr>
    </w:p>
    <w:p w14:paraId="0C4F66FE" w14:textId="77777777" w:rsidR="00241722" w:rsidRDefault="00241722" w:rsidP="00D2494B">
      <w:pPr>
        <w:spacing w:after="0"/>
        <w:rPr>
          <w:b/>
          <w:bCs/>
          <w:sz w:val="28"/>
          <w:szCs w:val="28"/>
        </w:rPr>
      </w:pPr>
    </w:p>
    <w:p w14:paraId="6A08EF36" w14:textId="77777777" w:rsidR="00241722" w:rsidRDefault="00241722" w:rsidP="00D2494B">
      <w:pPr>
        <w:spacing w:after="0"/>
        <w:rPr>
          <w:b/>
          <w:bCs/>
          <w:sz w:val="28"/>
          <w:szCs w:val="28"/>
        </w:rPr>
      </w:pPr>
    </w:p>
    <w:p w14:paraId="3A18B59B" w14:textId="77777777" w:rsidR="00241722" w:rsidRDefault="00241722" w:rsidP="00D2494B">
      <w:pPr>
        <w:spacing w:after="0"/>
        <w:rPr>
          <w:b/>
          <w:bCs/>
          <w:sz w:val="28"/>
          <w:szCs w:val="28"/>
        </w:rPr>
      </w:pPr>
    </w:p>
    <w:p w14:paraId="35C00069" w14:textId="77777777" w:rsidR="00241722" w:rsidRDefault="00241722" w:rsidP="00D2494B">
      <w:pPr>
        <w:spacing w:after="0"/>
        <w:rPr>
          <w:b/>
          <w:bCs/>
          <w:sz w:val="28"/>
          <w:szCs w:val="28"/>
        </w:rPr>
      </w:pPr>
    </w:p>
    <w:p w14:paraId="278C698C" w14:textId="77777777" w:rsidR="00241722" w:rsidRDefault="00241722" w:rsidP="00D2494B">
      <w:pPr>
        <w:spacing w:after="0"/>
        <w:rPr>
          <w:b/>
          <w:bCs/>
          <w:sz w:val="28"/>
          <w:szCs w:val="28"/>
        </w:rPr>
      </w:pPr>
    </w:p>
    <w:p w14:paraId="0693BD66" w14:textId="77777777" w:rsidR="00241722" w:rsidRDefault="00241722" w:rsidP="00D2494B">
      <w:pPr>
        <w:spacing w:after="0"/>
        <w:rPr>
          <w:b/>
          <w:bCs/>
          <w:sz w:val="28"/>
          <w:szCs w:val="28"/>
        </w:rPr>
      </w:pPr>
    </w:p>
    <w:p w14:paraId="59257C22" w14:textId="77777777" w:rsidR="00241722" w:rsidRDefault="00241722" w:rsidP="00D2494B">
      <w:pPr>
        <w:spacing w:after="0"/>
        <w:rPr>
          <w:b/>
          <w:bCs/>
          <w:sz w:val="28"/>
          <w:szCs w:val="28"/>
        </w:rPr>
      </w:pPr>
    </w:p>
    <w:p w14:paraId="4951718B" w14:textId="77777777" w:rsidR="00241722" w:rsidRDefault="00241722" w:rsidP="00D2494B">
      <w:pPr>
        <w:spacing w:after="0"/>
        <w:rPr>
          <w:b/>
          <w:bCs/>
          <w:sz w:val="28"/>
          <w:szCs w:val="28"/>
        </w:rPr>
      </w:pPr>
    </w:p>
    <w:p w14:paraId="74D9774F" w14:textId="77777777" w:rsidR="00241722" w:rsidRDefault="00241722" w:rsidP="00D2494B">
      <w:pPr>
        <w:spacing w:after="0"/>
        <w:rPr>
          <w:b/>
          <w:bCs/>
          <w:sz w:val="28"/>
          <w:szCs w:val="28"/>
        </w:rPr>
      </w:pPr>
    </w:p>
    <w:p w14:paraId="382815F1" w14:textId="77777777" w:rsidR="00241722" w:rsidRDefault="00241722" w:rsidP="00D2494B">
      <w:pPr>
        <w:spacing w:after="0"/>
        <w:rPr>
          <w:b/>
          <w:bCs/>
          <w:sz w:val="28"/>
          <w:szCs w:val="28"/>
        </w:rPr>
      </w:pPr>
    </w:p>
    <w:p w14:paraId="1824C18D" w14:textId="77777777" w:rsidR="00241722" w:rsidRDefault="00241722" w:rsidP="00D2494B">
      <w:pPr>
        <w:spacing w:after="0"/>
        <w:rPr>
          <w:b/>
          <w:bCs/>
          <w:sz w:val="28"/>
          <w:szCs w:val="28"/>
        </w:rPr>
      </w:pPr>
    </w:p>
    <w:p w14:paraId="11847A3D" w14:textId="77777777" w:rsidR="00241722" w:rsidRDefault="00241722" w:rsidP="00D2494B">
      <w:pPr>
        <w:spacing w:after="0"/>
        <w:rPr>
          <w:b/>
          <w:bCs/>
          <w:sz w:val="28"/>
          <w:szCs w:val="28"/>
        </w:rPr>
      </w:pPr>
    </w:p>
    <w:p w14:paraId="08A2A3CE" w14:textId="5521ECC1" w:rsidR="00831D6E" w:rsidRDefault="00831D6E" w:rsidP="00D2494B">
      <w:pPr>
        <w:spacing w:after="0"/>
        <w:rPr>
          <w:b/>
          <w:bCs/>
          <w:sz w:val="28"/>
          <w:szCs w:val="28"/>
        </w:rPr>
      </w:pPr>
      <w:r>
        <w:rPr>
          <w:b/>
          <w:bCs/>
          <w:sz w:val="28"/>
          <w:szCs w:val="28"/>
        </w:rPr>
        <w:lastRenderedPageBreak/>
        <w:t>The advantages and challenges for students and teachers</w:t>
      </w:r>
    </w:p>
    <w:p w14:paraId="150DE5B7" w14:textId="51326616" w:rsidR="00831D6E" w:rsidRDefault="00831D6E" w:rsidP="00D2494B">
      <w:pPr>
        <w:spacing w:after="0"/>
        <w:rPr>
          <w:b/>
          <w:bCs/>
          <w:sz w:val="28"/>
          <w:szCs w:val="28"/>
        </w:rPr>
      </w:pPr>
    </w:p>
    <w:p w14:paraId="15833435" w14:textId="5B786850" w:rsidR="00831D6E" w:rsidRDefault="009C0B63" w:rsidP="00D2494B">
      <w:pPr>
        <w:spacing w:after="0"/>
        <w:rPr>
          <w:sz w:val="24"/>
          <w:szCs w:val="24"/>
        </w:rPr>
      </w:pPr>
      <w:r>
        <w:rPr>
          <w:sz w:val="24"/>
          <w:szCs w:val="24"/>
        </w:rPr>
        <w:t xml:space="preserve">For students, the advantages </w:t>
      </w:r>
      <w:r w:rsidR="006A6EB9">
        <w:rPr>
          <w:sz w:val="24"/>
          <w:szCs w:val="24"/>
        </w:rPr>
        <w:t>and</w:t>
      </w:r>
      <w:r>
        <w:rPr>
          <w:sz w:val="24"/>
          <w:szCs w:val="24"/>
        </w:rPr>
        <w:t xml:space="preserve"> challenges of the course include:</w:t>
      </w:r>
    </w:p>
    <w:p w14:paraId="0FD5BA20" w14:textId="155209D6" w:rsidR="009C0B63" w:rsidRDefault="009C0B63" w:rsidP="00D2494B">
      <w:pPr>
        <w:spacing w:after="0"/>
        <w:rPr>
          <w:sz w:val="24"/>
          <w:szCs w:val="24"/>
        </w:rPr>
      </w:pPr>
    </w:p>
    <w:tbl>
      <w:tblPr>
        <w:tblStyle w:val="TableGrid"/>
        <w:tblW w:w="9182" w:type="dxa"/>
        <w:tblLook w:val="04A0" w:firstRow="1" w:lastRow="0" w:firstColumn="1" w:lastColumn="0" w:noHBand="0" w:noVBand="1"/>
      </w:tblPr>
      <w:tblGrid>
        <w:gridCol w:w="4591"/>
        <w:gridCol w:w="4591"/>
      </w:tblGrid>
      <w:tr w:rsidR="009C0B63" w14:paraId="51A50872" w14:textId="77777777" w:rsidTr="009C0B63">
        <w:trPr>
          <w:trHeight w:val="463"/>
        </w:trPr>
        <w:tc>
          <w:tcPr>
            <w:tcW w:w="4591" w:type="dxa"/>
            <w:shd w:val="clear" w:color="auto" w:fill="D9D9D9" w:themeFill="background1" w:themeFillShade="D9"/>
            <w:vAlign w:val="center"/>
          </w:tcPr>
          <w:p w14:paraId="43F30AFF" w14:textId="755BB3A1" w:rsidR="009C0B63" w:rsidRPr="009C0B63" w:rsidRDefault="009C0B63" w:rsidP="009C0B63">
            <w:pPr>
              <w:rPr>
                <w:b/>
                <w:bCs/>
                <w:sz w:val="24"/>
                <w:szCs w:val="24"/>
              </w:rPr>
            </w:pPr>
            <w:r w:rsidRPr="009C0B63">
              <w:rPr>
                <w:b/>
                <w:bCs/>
                <w:sz w:val="24"/>
                <w:szCs w:val="24"/>
              </w:rPr>
              <w:t>Advantages</w:t>
            </w:r>
          </w:p>
        </w:tc>
        <w:tc>
          <w:tcPr>
            <w:tcW w:w="4591" w:type="dxa"/>
            <w:shd w:val="clear" w:color="auto" w:fill="D9D9D9" w:themeFill="background1" w:themeFillShade="D9"/>
            <w:vAlign w:val="center"/>
          </w:tcPr>
          <w:p w14:paraId="5DF9C26F" w14:textId="40F03BE7" w:rsidR="009C0B63" w:rsidRPr="009C0B63" w:rsidRDefault="009C0B63" w:rsidP="009C0B63">
            <w:pPr>
              <w:rPr>
                <w:b/>
                <w:bCs/>
                <w:sz w:val="24"/>
                <w:szCs w:val="24"/>
              </w:rPr>
            </w:pPr>
            <w:r w:rsidRPr="009C0B63">
              <w:rPr>
                <w:b/>
                <w:bCs/>
                <w:sz w:val="24"/>
                <w:szCs w:val="24"/>
              </w:rPr>
              <w:t>Challenges</w:t>
            </w:r>
          </w:p>
        </w:tc>
      </w:tr>
      <w:tr w:rsidR="009C0B63" w14:paraId="50114BE5" w14:textId="77777777" w:rsidTr="006A6EB9">
        <w:trPr>
          <w:trHeight w:val="2963"/>
        </w:trPr>
        <w:tc>
          <w:tcPr>
            <w:tcW w:w="4591" w:type="dxa"/>
            <w:vAlign w:val="center"/>
          </w:tcPr>
          <w:p w14:paraId="091B00D1" w14:textId="3BDD86D0" w:rsidR="009C0B63" w:rsidRDefault="006A6EB9" w:rsidP="006A6EB9">
            <w:pPr>
              <w:pStyle w:val="ListParagraph"/>
              <w:numPr>
                <w:ilvl w:val="0"/>
                <w:numId w:val="5"/>
              </w:numPr>
              <w:rPr>
                <w:sz w:val="24"/>
                <w:szCs w:val="24"/>
              </w:rPr>
            </w:pPr>
            <w:r>
              <w:rPr>
                <w:sz w:val="24"/>
                <w:szCs w:val="24"/>
              </w:rPr>
              <w:t>a course tailored to their immediate current and future needs</w:t>
            </w:r>
          </w:p>
          <w:p w14:paraId="431C4DDE" w14:textId="0A32C267" w:rsidR="006A6EB9" w:rsidRDefault="006A6EB9" w:rsidP="006A6EB9">
            <w:pPr>
              <w:pStyle w:val="ListParagraph"/>
              <w:numPr>
                <w:ilvl w:val="0"/>
                <w:numId w:val="5"/>
              </w:numPr>
              <w:rPr>
                <w:sz w:val="24"/>
                <w:szCs w:val="24"/>
              </w:rPr>
            </w:pPr>
            <w:r>
              <w:rPr>
                <w:sz w:val="24"/>
                <w:szCs w:val="24"/>
              </w:rPr>
              <w:t>student-</w:t>
            </w:r>
            <w:proofErr w:type="spellStart"/>
            <w:r>
              <w:rPr>
                <w:sz w:val="24"/>
                <w:szCs w:val="24"/>
              </w:rPr>
              <w:t>centered</w:t>
            </w:r>
            <w:proofErr w:type="spellEnd"/>
          </w:p>
          <w:p w14:paraId="3EAF854F" w14:textId="36F1E3FB" w:rsidR="006A6EB9" w:rsidRDefault="006A6EB9" w:rsidP="006A6EB9">
            <w:pPr>
              <w:pStyle w:val="ListParagraph"/>
              <w:numPr>
                <w:ilvl w:val="0"/>
                <w:numId w:val="5"/>
              </w:numPr>
              <w:rPr>
                <w:sz w:val="24"/>
                <w:szCs w:val="24"/>
              </w:rPr>
            </w:pPr>
            <w:r>
              <w:rPr>
                <w:sz w:val="24"/>
                <w:szCs w:val="24"/>
              </w:rPr>
              <w:t>differentiat</w:t>
            </w:r>
            <w:r w:rsidR="005C1BB5">
              <w:rPr>
                <w:sz w:val="24"/>
                <w:szCs w:val="24"/>
              </w:rPr>
              <w:t>ed</w:t>
            </w:r>
            <w:r>
              <w:rPr>
                <w:sz w:val="24"/>
                <w:szCs w:val="24"/>
              </w:rPr>
              <w:t xml:space="preserve"> according to content, environment, process, and product</w:t>
            </w:r>
          </w:p>
          <w:p w14:paraId="331BABDE" w14:textId="77777777" w:rsidR="006A6EB9" w:rsidRDefault="006A6EB9" w:rsidP="006A6EB9">
            <w:pPr>
              <w:pStyle w:val="ListParagraph"/>
              <w:numPr>
                <w:ilvl w:val="0"/>
                <w:numId w:val="5"/>
              </w:numPr>
              <w:rPr>
                <w:sz w:val="24"/>
                <w:szCs w:val="24"/>
              </w:rPr>
            </w:pPr>
            <w:r>
              <w:rPr>
                <w:sz w:val="24"/>
                <w:szCs w:val="24"/>
              </w:rPr>
              <w:t>high surrender value</w:t>
            </w:r>
          </w:p>
          <w:p w14:paraId="39846C15" w14:textId="77777777" w:rsidR="006A6EB9" w:rsidRDefault="006A6EB9" w:rsidP="006A6EB9">
            <w:pPr>
              <w:pStyle w:val="ListParagraph"/>
              <w:numPr>
                <w:ilvl w:val="0"/>
                <w:numId w:val="5"/>
              </w:numPr>
              <w:rPr>
                <w:sz w:val="24"/>
                <w:szCs w:val="24"/>
              </w:rPr>
            </w:pPr>
            <w:r>
              <w:rPr>
                <w:sz w:val="24"/>
                <w:szCs w:val="24"/>
              </w:rPr>
              <w:t>fits with SLA findings</w:t>
            </w:r>
          </w:p>
          <w:p w14:paraId="4341DB60" w14:textId="2B0E9660" w:rsidR="009362B7" w:rsidRPr="006A6EB9" w:rsidRDefault="009362B7" w:rsidP="006A6EB9">
            <w:pPr>
              <w:pStyle w:val="ListParagraph"/>
              <w:numPr>
                <w:ilvl w:val="0"/>
                <w:numId w:val="5"/>
              </w:numPr>
              <w:rPr>
                <w:sz w:val="24"/>
                <w:szCs w:val="24"/>
              </w:rPr>
            </w:pPr>
            <w:r>
              <w:rPr>
                <w:sz w:val="24"/>
                <w:szCs w:val="24"/>
              </w:rPr>
              <w:t>engaging, interesting, meaning-focused classes supported by extensive reading and listening</w:t>
            </w:r>
          </w:p>
        </w:tc>
        <w:tc>
          <w:tcPr>
            <w:tcW w:w="4591" w:type="dxa"/>
          </w:tcPr>
          <w:p w14:paraId="3E1FEFAB" w14:textId="77777777" w:rsidR="009C0B63" w:rsidRDefault="009C0B63" w:rsidP="00D2494B">
            <w:pPr>
              <w:rPr>
                <w:sz w:val="24"/>
                <w:szCs w:val="24"/>
              </w:rPr>
            </w:pPr>
          </w:p>
          <w:p w14:paraId="60FA37D1" w14:textId="08674828" w:rsidR="006A6EB9" w:rsidRDefault="005C1BB5" w:rsidP="006A6EB9">
            <w:pPr>
              <w:pStyle w:val="ListParagraph"/>
              <w:numPr>
                <w:ilvl w:val="0"/>
                <w:numId w:val="5"/>
              </w:numPr>
              <w:rPr>
                <w:sz w:val="24"/>
                <w:szCs w:val="24"/>
              </w:rPr>
            </w:pPr>
            <w:r>
              <w:rPr>
                <w:sz w:val="24"/>
                <w:szCs w:val="24"/>
              </w:rPr>
              <w:t xml:space="preserve">face validity - </w:t>
            </w:r>
            <w:r w:rsidR="006A6EB9">
              <w:rPr>
                <w:sz w:val="24"/>
                <w:szCs w:val="24"/>
              </w:rPr>
              <w:t>considerably different to ways they have previously learned English</w:t>
            </w:r>
          </w:p>
          <w:p w14:paraId="5089C32C" w14:textId="165E1E7B" w:rsidR="006A6EB9" w:rsidRPr="006A6EB9" w:rsidRDefault="00963DDE" w:rsidP="006A6EB9">
            <w:pPr>
              <w:pStyle w:val="ListParagraph"/>
              <w:numPr>
                <w:ilvl w:val="0"/>
                <w:numId w:val="5"/>
              </w:numPr>
              <w:rPr>
                <w:sz w:val="24"/>
                <w:szCs w:val="24"/>
              </w:rPr>
            </w:pPr>
            <w:r>
              <w:rPr>
                <w:sz w:val="24"/>
                <w:szCs w:val="24"/>
              </w:rPr>
              <w:t>considerable “buy in” for some students; steep learning curve for students who are used to being passive in class</w:t>
            </w:r>
          </w:p>
        </w:tc>
      </w:tr>
    </w:tbl>
    <w:p w14:paraId="075010AA" w14:textId="69718F86" w:rsidR="009C0B63" w:rsidRDefault="009C0B63" w:rsidP="00D2494B">
      <w:pPr>
        <w:spacing w:after="0"/>
        <w:rPr>
          <w:sz w:val="24"/>
          <w:szCs w:val="24"/>
        </w:rPr>
      </w:pPr>
    </w:p>
    <w:p w14:paraId="449BF141" w14:textId="3D99F50F" w:rsidR="00582B99" w:rsidRDefault="00582B99" w:rsidP="00D2494B">
      <w:pPr>
        <w:spacing w:after="0"/>
        <w:rPr>
          <w:sz w:val="24"/>
          <w:szCs w:val="24"/>
        </w:rPr>
      </w:pPr>
      <w:r>
        <w:rPr>
          <w:sz w:val="24"/>
          <w:szCs w:val="24"/>
        </w:rPr>
        <w:t>For teachers, the advantages and challenges of the</w:t>
      </w:r>
      <w:r w:rsidR="002B2400">
        <w:rPr>
          <w:sz w:val="24"/>
          <w:szCs w:val="24"/>
        </w:rPr>
        <w:t xml:space="preserve"> </w:t>
      </w:r>
      <w:r>
        <w:rPr>
          <w:sz w:val="24"/>
          <w:szCs w:val="24"/>
        </w:rPr>
        <w:t>course include:</w:t>
      </w:r>
    </w:p>
    <w:p w14:paraId="22FF4022" w14:textId="354C2CFD" w:rsidR="00582B99" w:rsidRDefault="00582B99" w:rsidP="00D2494B">
      <w:pPr>
        <w:spacing w:after="0"/>
        <w:rPr>
          <w:sz w:val="24"/>
          <w:szCs w:val="24"/>
        </w:rPr>
      </w:pPr>
    </w:p>
    <w:tbl>
      <w:tblPr>
        <w:tblStyle w:val="TableGrid"/>
        <w:tblW w:w="9182" w:type="dxa"/>
        <w:tblLook w:val="04A0" w:firstRow="1" w:lastRow="0" w:firstColumn="1" w:lastColumn="0" w:noHBand="0" w:noVBand="1"/>
      </w:tblPr>
      <w:tblGrid>
        <w:gridCol w:w="4591"/>
        <w:gridCol w:w="4591"/>
      </w:tblGrid>
      <w:tr w:rsidR="00582B99" w14:paraId="6A3625BD" w14:textId="77777777" w:rsidTr="009633C1">
        <w:trPr>
          <w:trHeight w:val="463"/>
        </w:trPr>
        <w:tc>
          <w:tcPr>
            <w:tcW w:w="4591" w:type="dxa"/>
            <w:shd w:val="clear" w:color="auto" w:fill="D9D9D9" w:themeFill="background1" w:themeFillShade="D9"/>
            <w:vAlign w:val="center"/>
          </w:tcPr>
          <w:p w14:paraId="6A99DB3D" w14:textId="77777777" w:rsidR="00582B99" w:rsidRPr="009C0B63" w:rsidRDefault="00582B99" w:rsidP="009633C1">
            <w:pPr>
              <w:rPr>
                <w:b/>
                <w:bCs/>
                <w:sz w:val="24"/>
                <w:szCs w:val="24"/>
              </w:rPr>
            </w:pPr>
            <w:r w:rsidRPr="009C0B63">
              <w:rPr>
                <w:b/>
                <w:bCs/>
                <w:sz w:val="24"/>
                <w:szCs w:val="24"/>
              </w:rPr>
              <w:t>Advantages</w:t>
            </w:r>
          </w:p>
        </w:tc>
        <w:tc>
          <w:tcPr>
            <w:tcW w:w="4591" w:type="dxa"/>
            <w:shd w:val="clear" w:color="auto" w:fill="D9D9D9" w:themeFill="background1" w:themeFillShade="D9"/>
            <w:vAlign w:val="center"/>
          </w:tcPr>
          <w:p w14:paraId="2B7CB4F0" w14:textId="77777777" w:rsidR="00582B99" w:rsidRPr="009C0B63" w:rsidRDefault="00582B99" w:rsidP="009633C1">
            <w:pPr>
              <w:rPr>
                <w:b/>
                <w:bCs/>
                <w:sz w:val="24"/>
                <w:szCs w:val="24"/>
              </w:rPr>
            </w:pPr>
            <w:r w:rsidRPr="009C0B63">
              <w:rPr>
                <w:b/>
                <w:bCs/>
                <w:sz w:val="24"/>
                <w:szCs w:val="24"/>
              </w:rPr>
              <w:t>Challenges</w:t>
            </w:r>
          </w:p>
        </w:tc>
      </w:tr>
      <w:tr w:rsidR="00582B99" w14:paraId="2171C275" w14:textId="77777777" w:rsidTr="009633C1">
        <w:trPr>
          <w:trHeight w:val="2963"/>
        </w:trPr>
        <w:tc>
          <w:tcPr>
            <w:tcW w:w="4591" w:type="dxa"/>
            <w:vAlign w:val="center"/>
          </w:tcPr>
          <w:p w14:paraId="5E2B5870" w14:textId="77777777" w:rsidR="00582B99" w:rsidRDefault="00582B99" w:rsidP="009633C1">
            <w:pPr>
              <w:pStyle w:val="ListParagraph"/>
              <w:numPr>
                <w:ilvl w:val="0"/>
                <w:numId w:val="5"/>
              </w:numPr>
              <w:rPr>
                <w:sz w:val="24"/>
                <w:szCs w:val="24"/>
              </w:rPr>
            </w:pPr>
            <w:r>
              <w:rPr>
                <w:sz w:val="24"/>
                <w:szCs w:val="24"/>
              </w:rPr>
              <w:t>engaging, interesting, meaning-focused classes which are more enjoyable to teach</w:t>
            </w:r>
          </w:p>
          <w:p w14:paraId="6908C2F0" w14:textId="77777777" w:rsidR="00582B99" w:rsidRDefault="00582B99" w:rsidP="009633C1">
            <w:pPr>
              <w:pStyle w:val="ListParagraph"/>
              <w:numPr>
                <w:ilvl w:val="0"/>
                <w:numId w:val="5"/>
              </w:numPr>
              <w:rPr>
                <w:sz w:val="24"/>
                <w:szCs w:val="24"/>
              </w:rPr>
            </w:pPr>
            <w:r>
              <w:rPr>
                <w:sz w:val="24"/>
                <w:szCs w:val="24"/>
              </w:rPr>
              <w:t>not needing to “reinvent the wheel” for each new cohort</w:t>
            </w:r>
          </w:p>
          <w:p w14:paraId="0E3373C2" w14:textId="77777777" w:rsidR="00582B99" w:rsidRDefault="00582B99" w:rsidP="009633C1">
            <w:pPr>
              <w:pStyle w:val="ListParagraph"/>
              <w:numPr>
                <w:ilvl w:val="0"/>
                <w:numId w:val="5"/>
              </w:numPr>
              <w:rPr>
                <w:sz w:val="24"/>
                <w:szCs w:val="24"/>
              </w:rPr>
            </w:pPr>
            <w:r>
              <w:rPr>
                <w:sz w:val="24"/>
                <w:szCs w:val="24"/>
              </w:rPr>
              <w:t>less class-to-class preparation time once course has been designed and implemented</w:t>
            </w:r>
          </w:p>
          <w:p w14:paraId="224DC66C" w14:textId="72378541" w:rsidR="00F20AFD" w:rsidRPr="006A6EB9" w:rsidRDefault="00F20AFD" w:rsidP="009633C1">
            <w:pPr>
              <w:pStyle w:val="ListParagraph"/>
              <w:numPr>
                <w:ilvl w:val="0"/>
                <w:numId w:val="5"/>
              </w:numPr>
              <w:rPr>
                <w:sz w:val="24"/>
                <w:szCs w:val="24"/>
              </w:rPr>
            </w:pPr>
            <w:r>
              <w:rPr>
                <w:sz w:val="24"/>
                <w:szCs w:val="24"/>
              </w:rPr>
              <w:t>more engaged students</w:t>
            </w:r>
          </w:p>
        </w:tc>
        <w:tc>
          <w:tcPr>
            <w:tcW w:w="4591" w:type="dxa"/>
          </w:tcPr>
          <w:p w14:paraId="1CC1E3AB" w14:textId="77777777" w:rsidR="00582B99" w:rsidRDefault="00582B99" w:rsidP="009633C1">
            <w:pPr>
              <w:rPr>
                <w:sz w:val="24"/>
                <w:szCs w:val="24"/>
              </w:rPr>
            </w:pPr>
          </w:p>
          <w:p w14:paraId="0EA56405" w14:textId="18B1DF2C" w:rsidR="00582B99" w:rsidRDefault="00582B99" w:rsidP="009633C1">
            <w:pPr>
              <w:pStyle w:val="ListParagraph"/>
              <w:numPr>
                <w:ilvl w:val="0"/>
                <w:numId w:val="5"/>
              </w:numPr>
              <w:rPr>
                <w:sz w:val="24"/>
                <w:szCs w:val="24"/>
              </w:rPr>
            </w:pPr>
            <w:r>
              <w:rPr>
                <w:sz w:val="24"/>
                <w:szCs w:val="24"/>
              </w:rPr>
              <w:t>considerable “buy in” for some teachers, particularly older ones with little desire to change</w:t>
            </w:r>
          </w:p>
          <w:p w14:paraId="4278701C" w14:textId="6695B79D" w:rsidR="00582B99" w:rsidRPr="006A6EB9" w:rsidRDefault="00582B99" w:rsidP="009633C1">
            <w:pPr>
              <w:pStyle w:val="ListParagraph"/>
              <w:numPr>
                <w:ilvl w:val="0"/>
                <w:numId w:val="5"/>
              </w:numPr>
              <w:rPr>
                <w:sz w:val="24"/>
                <w:szCs w:val="24"/>
              </w:rPr>
            </w:pPr>
            <w:r>
              <w:rPr>
                <w:sz w:val="24"/>
                <w:szCs w:val="24"/>
              </w:rPr>
              <w:t>a lot of “heavy lifting” to prepare course; time and investment needed from all</w:t>
            </w:r>
          </w:p>
        </w:tc>
      </w:tr>
    </w:tbl>
    <w:p w14:paraId="4666A377" w14:textId="77777777" w:rsidR="00582B99" w:rsidRPr="00A16117" w:rsidRDefault="00582B99" w:rsidP="00D2494B">
      <w:pPr>
        <w:spacing w:after="0"/>
        <w:rPr>
          <w:sz w:val="24"/>
          <w:szCs w:val="24"/>
        </w:rPr>
      </w:pPr>
    </w:p>
    <w:p w14:paraId="13679192" w14:textId="074837C7" w:rsidR="00831D6E" w:rsidRDefault="00831D6E" w:rsidP="00D2494B">
      <w:pPr>
        <w:spacing w:after="0"/>
        <w:rPr>
          <w:b/>
          <w:bCs/>
          <w:sz w:val="28"/>
          <w:szCs w:val="28"/>
        </w:rPr>
      </w:pPr>
    </w:p>
    <w:p w14:paraId="7890876F" w14:textId="346275E9" w:rsidR="00831D6E" w:rsidRDefault="00831D6E" w:rsidP="00D2494B">
      <w:pPr>
        <w:spacing w:after="0"/>
        <w:rPr>
          <w:b/>
          <w:bCs/>
          <w:sz w:val="28"/>
          <w:szCs w:val="28"/>
        </w:rPr>
      </w:pPr>
      <w:r>
        <w:rPr>
          <w:b/>
          <w:bCs/>
          <w:sz w:val="28"/>
          <w:szCs w:val="28"/>
        </w:rPr>
        <w:t>Course implementation and suggested institutional approach</w:t>
      </w:r>
    </w:p>
    <w:p w14:paraId="7FE99B0F" w14:textId="77777777" w:rsidR="006A6EB9" w:rsidRDefault="006A6EB9" w:rsidP="00D2494B">
      <w:pPr>
        <w:spacing w:after="0"/>
        <w:rPr>
          <w:b/>
          <w:bCs/>
          <w:sz w:val="28"/>
          <w:szCs w:val="28"/>
        </w:rPr>
      </w:pPr>
    </w:p>
    <w:p w14:paraId="6D8C1D17" w14:textId="3309F0FE" w:rsidR="009B1D11" w:rsidRDefault="009B1D11" w:rsidP="00D2494B">
      <w:pPr>
        <w:spacing w:after="0"/>
        <w:rPr>
          <w:sz w:val="24"/>
          <w:szCs w:val="24"/>
        </w:rPr>
      </w:pPr>
      <w:r>
        <w:rPr>
          <w:sz w:val="24"/>
          <w:szCs w:val="24"/>
        </w:rPr>
        <w:t>Due to</w:t>
      </w:r>
      <w:r w:rsidR="00950315">
        <w:rPr>
          <w:sz w:val="24"/>
          <w:szCs w:val="24"/>
        </w:rPr>
        <w:t xml:space="preserve"> current</w:t>
      </w:r>
      <w:r>
        <w:rPr>
          <w:sz w:val="24"/>
          <w:szCs w:val="24"/>
        </w:rPr>
        <w:t xml:space="preserve"> constraints, I suggest the syllabus is implemented gradually across 2 to </w:t>
      </w:r>
      <w:r w:rsidR="006B0D6A">
        <w:rPr>
          <w:sz w:val="24"/>
          <w:szCs w:val="24"/>
        </w:rPr>
        <w:t>3</w:t>
      </w:r>
      <w:r>
        <w:rPr>
          <w:sz w:val="24"/>
          <w:szCs w:val="24"/>
        </w:rPr>
        <w:t xml:space="preserve"> school semesters (1 to 2 years). This will allow for teacher training and </w:t>
      </w:r>
      <w:r w:rsidR="00EE3F93">
        <w:rPr>
          <w:sz w:val="24"/>
          <w:szCs w:val="24"/>
        </w:rPr>
        <w:t xml:space="preserve">the </w:t>
      </w:r>
      <w:r>
        <w:rPr>
          <w:sz w:val="24"/>
          <w:szCs w:val="24"/>
        </w:rPr>
        <w:t xml:space="preserve">ongoing </w:t>
      </w:r>
      <w:r w:rsidR="00EE3F93">
        <w:rPr>
          <w:sz w:val="24"/>
          <w:szCs w:val="24"/>
        </w:rPr>
        <w:t xml:space="preserve">identification and </w:t>
      </w:r>
      <w:r>
        <w:rPr>
          <w:sz w:val="24"/>
          <w:szCs w:val="24"/>
        </w:rPr>
        <w:t>development of target tasks, pedagogic tasks, and assessment.</w:t>
      </w:r>
      <w:r w:rsidR="0074334F">
        <w:rPr>
          <w:sz w:val="24"/>
          <w:szCs w:val="24"/>
        </w:rPr>
        <w:t xml:space="preserve"> As such, I propose the following three stage implementation:</w:t>
      </w:r>
    </w:p>
    <w:p w14:paraId="1F6F1C36" w14:textId="049A1897" w:rsidR="0074334F" w:rsidRDefault="0074334F" w:rsidP="00D2494B">
      <w:pPr>
        <w:spacing w:after="0"/>
        <w:rPr>
          <w:sz w:val="24"/>
          <w:szCs w:val="24"/>
        </w:rPr>
      </w:pPr>
    </w:p>
    <w:p w14:paraId="26AE0B95" w14:textId="7B5D68C1" w:rsidR="0074334F" w:rsidRDefault="0074334F" w:rsidP="00D2494B">
      <w:pPr>
        <w:spacing w:after="0"/>
        <w:rPr>
          <w:b/>
          <w:bCs/>
          <w:i/>
          <w:iCs/>
          <w:sz w:val="24"/>
          <w:szCs w:val="24"/>
        </w:rPr>
      </w:pPr>
      <w:r>
        <w:rPr>
          <w:b/>
          <w:bCs/>
          <w:i/>
          <w:iCs/>
          <w:sz w:val="24"/>
          <w:szCs w:val="24"/>
        </w:rPr>
        <w:t>Stage 1</w:t>
      </w:r>
      <w:r w:rsidR="00515BB8">
        <w:rPr>
          <w:b/>
          <w:bCs/>
          <w:i/>
          <w:iCs/>
          <w:sz w:val="24"/>
          <w:szCs w:val="24"/>
        </w:rPr>
        <w:t>:</w:t>
      </w:r>
    </w:p>
    <w:p w14:paraId="036D2E34" w14:textId="1B45DC6F" w:rsidR="00515BB8" w:rsidRDefault="00515BB8" w:rsidP="008735C2">
      <w:pPr>
        <w:pStyle w:val="ListParagraph"/>
        <w:numPr>
          <w:ilvl w:val="0"/>
          <w:numId w:val="2"/>
        </w:numPr>
        <w:spacing w:after="0"/>
        <w:rPr>
          <w:sz w:val="24"/>
          <w:szCs w:val="24"/>
        </w:rPr>
      </w:pPr>
      <w:r>
        <w:rPr>
          <w:sz w:val="24"/>
          <w:szCs w:val="24"/>
        </w:rPr>
        <w:t>one semester</w:t>
      </w:r>
    </w:p>
    <w:p w14:paraId="7AA8918F" w14:textId="607EEE14" w:rsidR="008735C2" w:rsidRDefault="00515BB8" w:rsidP="00515BB8">
      <w:pPr>
        <w:pStyle w:val="ListParagraph"/>
        <w:numPr>
          <w:ilvl w:val="0"/>
          <w:numId w:val="2"/>
        </w:numPr>
        <w:spacing w:after="0"/>
        <w:rPr>
          <w:sz w:val="24"/>
          <w:szCs w:val="24"/>
        </w:rPr>
      </w:pPr>
      <w:r>
        <w:rPr>
          <w:sz w:val="24"/>
          <w:szCs w:val="24"/>
        </w:rPr>
        <w:t>a</w:t>
      </w:r>
      <w:r w:rsidR="008735C2">
        <w:rPr>
          <w:sz w:val="24"/>
          <w:szCs w:val="24"/>
        </w:rPr>
        <w:t xml:space="preserve"> ‘weak’ TBLT</w:t>
      </w:r>
      <w:r>
        <w:rPr>
          <w:sz w:val="24"/>
          <w:szCs w:val="24"/>
        </w:rPr>
        <w:t xml:space="preserve">; </w:t>
      </w:r>
      <w:r w:rsidRPr="00515BB8">
        <w:rPr>
          <w:sz w:val="24"/>
          <w:szCs w:val="24"/>
        </w:rPr>
        <w:t>c</w:t>
      </w:r>
      <w:r w:rsidR="008735C2" w:rsidRPr="00515BB8">
        <w:rPr>
          <w:sz w:val="24"/>
          <w:szCs w:val="24"/>
        </w:rPr>
        <w:t>urrent curriculum will be</w:t>
      </w:r>
      <w:r w:rsidRPr="00515BB8">
        <w:rPr>
          <w:sz w:val="24"/>
          <w:szCs w:val="24"/>
        </w:rPr>
        <w:t xml:space="preserve"> </w:t>
      </w:r>
      <w:r>
        <w:rPr>
          <w:sz w:val="24"/>
          <w:szCs w:val="24"/>
        </w:rPr>
        <w:t>used with an ‘integrated’ TSLT (Task Supported Language Teaching)</w:t>
      </w:r>
    </w:p>
    <w:p w14:paraId="00805BD9" w14:textId="30433CBC" w:rsidR="00515BB8" w:rsidRDefault="00515BB8" w:rsidP="00515BB8">
      <w:pPr>
        <w:pStyle w:val="ListParagraph"/>
        <w:numPr>
          <w:ilvl w:val="0"/>
          <w:numId w:val="2"/>
        </w:numPr>
        <w:spacing w:after="0"/>
        <w:rPr>
          <w:sz w:val="24"/>
          <w:szCs w:val="24"/>
        </w:rPr>
      </w:pPr>
      <w:r>
        <w:rPr>
          <w:sz w:val="24"/>
          <w:szCs w:val="24"/>
        </w:rPr>
        <w:t>ongoing PD for teachers</w:t>
      </w:r>
    </w:p>
    <w:p w14:paraId="1E7DC301" w14:textId="0E753F43" w:rsidR="00515BB8" w:rsidRPr="00515BB8" w:rsidRDefault="001005C9" w:rsidP="00515BB8">
      <w:pPr>
        <w:pStyle w:val="ListParagraph"/>
        <w:numPr>
          <w:ilvl w:val="0"/>
          <w:numId w:val="2"/>
        </w:numPr>
        <w:spacing w:after="0"/>
        <w:rPr>
          <w:sz w:val="24"/>
          <w:szCs w:val="24"/>
        </w:rPr>
      </w:pPr>
      <w:r>
        <w:rPr>
          <w:sz w:val="24"/>
          <w:szCs w:val="24"/>
        </w:rPr>
        <w:lastRenderedPageBreak/>
        <w:t>n</w:t>
      </w:r>
      <w:r w:rsidR="00515BB8">
        <w:rPr>
          <w:sz w:val="24"/>
          <w:szCs w:val="24"/>
        </w:rPr>
        <w:t xml:space="preserve">eeds </w:t>
      </w:r>
      <w:r>
        <w:rPr>
          <w:sz w:val="24"/>
          <w:szCs w:val="24"/>
        </w:rPr>
        <w:t>a</w:t>
      </w:r>
      <w:r w:rsidR="00515BB8">
        <w:rPr>
          <w:sz w:val="24"/>
          <w:szCs w:val="24"/>
        </w:rPr>
        <w:t>nalysis, interviews with domain experts, identification of target tasks</w:t>
      </w:r>
    </w:p>
    <w:p w14:paraId="48413B90" w14:textId="0996D344" w:rsidR="0074334F" w:rsidRDefault="0074334F" w:rsidP="00D2494B">
      <w:pPr>
        <w:spacing w:after="0"/>
        <w:rPr>
          <w:b/>
          <w:bCs/>
          <w:i/>
          <w:iCs/>
          <w:sz w:val="24"/>
          <w:szCs w:val="24"/>
        </w:rPr>
      </w:pPr>
    </w:p>
    <w:p w14:paraId="7A3383E8" w14:textId="6EA60590" w:rsidR="0074334F" w:rsidRDefault="0074334F" w:rsidP="00D2494B">
      <w:pPr>
        <w:spacing w:after="0"/>
        <w:rPr>
          <w:b/>
          <w:bCs/>
          <w:i/>
          <w:iCs/>
          <w:sz w:val="24"/>
          <w:szCs w:val="24"/>
        </w:rPr>
      </w:pPr>
      <w:r>
        <w:rPr>
          <w:b/>
          <w:bCs/>
          <w:i/>
          <w:iCs/>
          <w:sz w:val="24"/>
          <w:szCs w:val="24"/>
        </w:rPr>
        <w:t>Stage 2</w:t>
      </w:r>
      <w:r w:rsidR="00515BB8">
        <w:rPr>
          <w:b/>
          <w:bCs/>
          <w:i/>
          <w:iCs/>
          <w:sz w:val="24"/>
          <w:szCs w:val="24"/>
        </w:rPr>
        <w:t>:</w:t>
      </w:r>
    </w:p>
    <w:p w14:paraId="72304E6F" w14:textId="2A8DEFBC" w:rsidR="00515BB8" w:rsidRDefault="00515BB8" w:rsidP="00515BB8">
      <w:pPr>
        <w:pStyle w:val="ListParagraph"/>
        <w:numPr>
          <w:ilvl w:val="0"/>
          <w:numId w:val="3"/>
        </w:numPr>
        <w:spacing w:after="0"/>
        <w:rPr>
          <w:sz w:val="24"/>
          <w:szCs w:val="24"/>
        </w:rPr>
      </w:pPr>
      <w:r>
        <w:rPr>
          <w:sz w:val="24"/>
          <w:szCs w:val="24"/>
        </w:rPr>
        <w:t>one semester</w:t>
      </w:r>
    </w:p>
    <w:p w14:paraId="2232D8D7" w14:textId="146172AB" w:rsidR="00515BB8" w:rsidRDefault="00515BB8" w:rsidP="00515BB8">
      <w:pPr>
        <w:pStyle w:val="ListParagraph"/>
        <w:numPr>
          <w:ilvl w:val="0"/>
          <w:numId w:val="3"/>
        </w:numPr>
        <w:spacing w:after="0"/>
        <w:rPr>
          <w:sz w:val="24"/>
          <w:szCs w:val="24"/>
        </w:rPr>
      </w:pPr>
      <w:r>
        <w:rPr>
          <w:sz w:val="24"/>
          <w:szCs w:val="24"/>
        </w:rPr>
        <w:t>a ‘hybrid’ TBLT; a continued focus on the curriculum but with greater integration and trialling of tasks under development</w:t>
      </w:r>
    </w:p>
    <w:p w14:paraId="7978BAD2" w14:textId="316953BE" w:rsidR="00515BB8" w:rsidRPr="00515BB8" w:rsidRDefault="001005C9" w:rsidP="00515BB8">
      <w:pPr>
        <w:pStyle w:val="ListParagraph"/>
        <w:numPr>
          <w:ilvl w:val="0"/>
          <w:numId w:val="3"/>
        </w:numPr>
        <w:spacing w:after="0"/>
        <w:rPr>
          <w:sz w:val="24"/>
          <w:szCs w:val="24"/>
        </w:rPr>
      </w:pPr>
      <w:r>
        <w:rPr>
          <w:sz w:val="24"/>
          <w:szCs w:val="24"/>
        </w:rPr>
        <w:t>d</w:t>
      </w:r>
      <w:r w:rsidR="00515BB8">
        <w:rPr>
          <w:sz w:val="24"/>
          <w:szCs w:val="24"/>
        </w:rPr>
        <w:t>iscourse analysis, creation of pedagogic tasks, development of assessments</w:t>
      </w:r>
    </w:p>
    <w:p w14:paraId="2C1C370F" w14:textId="47188FED" w:rsidR="0074334F" w:rsidRDefault="0074334F" w:rsidP="00D2494B">
      <w:pPr>
        <w:spacing w:after="0"/>
        <w:rPr>
          <w:b/>
          <w:bCs/>
          <w:i/>
          <w:iCs/>
          <w:sz w:val="24"/>
          <w:szCs w:val="24"/>
        </w:rPr>
      </w:pPr>
    </w:p>
    <w:p w14:paraId="14565CEE" w14:textId="77777777" w:rsidR="001005C9" w:rsidRDefault="001005C9" w:rsidP="00D2494B">
      <w:pPr>
        <w:spacing w:after="0"/>
        <w:rPr>
          <w:b/>
          <w:bCs/>
          <w:i/>
          <w:iCs/>
          <w:sz w:val="24"/>
          <w:szCs w:val="24"/>
        </w:rPr>
      </w:pPr>
    </w:p>
    <w:p w14:paraId="28B97E59" w14:textId="5037C42B" w:rsidR="0074334F" w:rsidRDefault="0074334F" w:rsidP="00D2494B">
      <w:pPr>
        <w:spacing w:after="0"/>
        <w:rPr>
          <w:b/>
          <w:bCs/>
          <w:i/>
          <w:iCs/>
          <w:sz w:val="24"/>
          <w:szCs w:val="24"/>
        </w:rPr>
      </w:pPr>
      <w:r>
        <w:rPr>
          <w:b/>
          <w:bCs/>
          <w:i/>
          <w:iCs/>
          <w:sz w:val="24"/>
          <w:szCs w:val="24"/>
        </w:rPr>
        <w:t>Stage 3</w:t>
      </w:r>
      <w:r w:rsidR="00515BB8">
        <w:rPr>
          <w:b/>
          <w:bCs/>
          <w:i/>
          <w:iCs/>
          <w:sz w:val="24"/>
          <w:szCs w:val="24"/>
        </w:rPr>
        <w:t>:</w:t>
      </w:r>
    </w:p>
    <w:p w14:paraId="066D77D2" w14:textId="05E48D92" w:rsidR="001005C9" w:rsidRDefault="001005C9" w:rsidP="001005C9">
      <w:pPr>
        <w:pStyle w:val="ListParagraph"/>
        <w:numPr>
          <w:ilvl w:val="0"/>
          <w:numId w:val="4"/>
        </w:numPr>
        <w:spacing w:after="0"/>
        <w:rPr>
          <w:sz w:val="24"/>
          <w:szCs w:val="24"/>
        </w:rPr>
      </w:pPr>
      <w:r>
        <w:rPr>
          <w:sz w:val="24"/>
          <w:szCs w:val="24"/>
        </w:rPr>
        <w:t>one to two semesters</w:t>
      </w:r>
    </w:p>
    <w:p w14:paraId="2C17BB89" w14:textId="506804EB" w:rsidR="001005C9" w:rsidRDefault="001005C9" w:rsidP="001005C9">
      <w:pPr>
        <w:pStyle w:val="ListParagraph"/>
        <w:numPr>
          <w:ilvl w:val="0"/>
          <w:numId w:val="4"/>
        </w:numPr>
        <w:spacing w:after="0"/>
        <w:rPr>
          <w:sz w:val="24"/>
          <w:szCs w:val="24"/>
        </w:rPr>
      </w:pPr>
      <w:r>
        <w:rPr>
          <w:sz w:val="24"/>
          <w:szCs w:val="24"/>
        </w:rPr>
        <w:t>full implementation; a move to ‘programmatic’ TBLT where unfocused tasks become the building blocks of the curriculum</w:t>
      </w:r>
    </w:p>
    <w:p w14:paraId="554E7C12" w14:textId="091B2520" w:rsidR="001005C9" w:rsidRDefault="002B309A" w:rsidP="001005C9">
      <w:pPr>
        <w:pStyle w:val="ListParagraph"/>
        <w:numPr>
          <w:ilvl w:val="0"/>
          <w:numId w:val="4"/>
        </w:numPr>
        <w:spacing w:after="0"/>
        <w:rPr>
          <w:sz w:val="24"/>
          <w:szCs w:val="24"/>
        </w:rPr>
      </w:pPr>
      <w:r>
        <w:rPr>
          <w:sz w:val="24"/>
          <w:szCs w:val="24"/>
        </w:rPr>
        <w:t>refinement of pedagogic tasks and assessments</w:t>
      </w:r>
    </w:p>
    <w:p w14:paraId="716BE935" w14:textId="3A3C66F7" w:rsidR="009D02BC" w:rsidRDefault="009D02BC" w:rsidP="009D02BC">
      <w:pPr>
        <w:spacing w:after="0"/>
        <w:rPr>
          <w:sz w:val="24"/>
          <w:szCs w:val="24"/>
        </w:rPr>
      </w:pPr>
    </w:p>
    <w:p w14:paraId="3A46EBB8" w14:textId="09466AE9" w:rsidR="009D02BC" w:rsidRPr="009D02BC" w:rsidRDefault="009D02BC" w:rsidP="009D02BC">
      <w:pPr>
        <w:spacing w:after="0"/>
        <w:rPr>
          <w:sz w:val="24"/>
          <w:szCs w:val="24"/>
        </w:rPr>
      </w:pPr>
      <w:r>
        <w:rPr>
          <w:sz w:val="24"/>
          <w:szCs w:val="24"/>
        </w:rPr>
        <w:t>The course will be complemented by extensive reading and listening programs, and a vocabulary development program based on the New General Service List and Academic Word List.</w:t>
      </w:r>
    </w:p>
    <w:p w14:paraId="0307125A" w14:textId="6D80315A" w:rsidR="00EE6D8B" w:rsidRDefault="00EE6D8B" w:rsidP="00D2494B">
      <w:pPr>
        <w:spacing w:after="0"/>
        <w:rPr>
          <w:b/>
          <w:bCs/>
          <w:sz w:val="28"/>
          <w:szCs w:val="28"/>
        </w:rPr>
      </w:pPr>
    </w:p>
    <w:p w14:paraId="7D987B89" w14:textId="019D025C" w:rsidR="009D02BC" w:rsidRDefault="009D02BC" w:rsidP="00D2494B">
      <w:pPr>
        <w:spacing w:after="0"/>
        <w:rPr>
          <w:sz w:val="24"/>
          <w:szCs w:val="24"/>
        </w:rPr>
      </w:pPr>
      <w:r>
        <w:rPr>
          <w:sz w:val="24"/>
          <w:szCs w:val="24"/>
        </w:rPr>
        <w:t xml:space="preserve">The course will be underpinned by the philosophical principles </w:t>
      </w:r>
      <w:r w:rsidR="00CA5130">
        <w:rPr>
          <w:sz w:val="24"/>
          <w:szCs w:val="24"/>
        </w:rPr>
        <w:t xml:space="preserve">‘learning by doing’, ‘individual freedom’, ‘rationality’, ‘learner-centredness’, and ‘mutual aid and cooperation’ </w:t>
      </w:r>
      <w:r>
        <w:rPr>
          <w:sz w:val="24"/>
          <w:szCs w:val="24"/>
        </w:rPr>
        <w:t xml:space="preserve">suggested by Long (2015). Not only will these promote a </w:t>
      </w:r>
      <w:proofErr w:type="spellStart"/>
      <w:r>
        <w:rPr>
          <w:sz w:val="24"/>
          <w:szCs w:val="24"/>
        </w:rPr>
        <w:t>psycholinguistically</w:t>
      </w:r>
      <w:proofErr w:type="spellEnd"/>
      <w:r>
        <w:rPr>
          <w:sz w:val="24"/>
          <w:szCs w:val="24"/>
        </w:rPr>
        <w:t>-positive classroom, but they will also provide the requisite social-emotional support necessary in trauma-informed teaching contexts such as the IEC.</w:t>
      </w:r>
    </w:p>
    <w:p w14:paraId="5F23496C" w14:textId="67C49F01" w:rsidR="00EE6D8B" w:rsidRDefault="00EE6D8B" w:rsidP="00D2494B">
      <w:pPr>
        <w:spacing w:after="0"/>
        <w:rPr>
          <w:b/>
          <w:bCs/>
          <w:sz w:val="28"/>
          <w:szCs w:val="28"/>
        </w:rPr>
      </w:pPr>
    </w:p>
    <w:p w14:paraId="7D14E358" w14:textId="1012407F" w:rsidR="00EE6D8B" w:rsidRDefault="00EE6D8B" w:rsidP="00D2494B">
      <w:pPr>
        <w:spacing w:after="0"/>
        <w:rPr>
          <w:b/>
          <w:bCs/>
          <w:sz w:val="28"/>
          <w:szCs w:val="28"/>
        </w:rPr>
      </w:pPr>
      <w:r>
        <w:rPr>
          <w:b/>
          <w:bCs/>
          <w:sz w:val="28"/>
          <w:szCs w:val="28"/>
        </w:rPr>
        <w:t>References</w:t>
      </w:r>
    </w:p>
    <w:p w14:paraId="2740F5FF" w14:textId="0229F169" w:rsidR="00BC3122" w:rsidRDefault="00BC3122" w:rsidP="00D2494B">
      <w:pPr>
        <w:spacing w:after="0"/>
        <w:rPr>
          <w:b/>
          <w:bCs/>
          <w:sz w:val="28"/>
          <w:szCs w:val="28"/>
        </w:rPr>
      </w:pPr>
    </w:p>
    <w:p w14:paraId="347EF929" w14:textId="04552CFC" w:rsidR="00DD786A" w:rsidRPr="00050470" w:rsidRDefault="00DD786A" w:rsidP="00BC3122">
      <w:pPr>
        <w:spacing w:after="0"/>
        <w:ind w:left="426" w:hanging="426"/>
        <w:rPr>
          <w:sz w:val="24"/>
          <w:szCs w:val="24"/>
        </w:rPr>
      </w:pPr>
      <w:r>
        <w:rPr>
          <w:sz w:val="24"/>
          <w:szCs w:val="24"/>
        </w:rPr>
        <w:t xml:space="preserve">Jordan, G. (2017). </w:t>
      </w:r>
      <w:r w:rsidR="00050470">
        <w:rPr>
          <w:i/>
          <w:iCs/>
          <w:sz w:val="24"/>
          <w:szCs w:val="24"/>
        </w:rPr>
        <w:t xml:space="preserve">Two Versions of Task-Based Language Teaching. </w:t>
      </w:r>
      <w:r w:rsidR="00050470">
        <w:rPr>
          <w:sz w:val="24"/>
          <w:szCs w:val="24"/>
        </w:rPr>
        <w:t>Retri</w:t>
      </w:r>
      <w:r w:rsidR="00BE58AC">
        <w:rPr>
          <w:sz w:val="24"/>
          <w:szCs w:val="24"/>
        </w:rPr>
        <w:t>e</w:t>
      </w:r>
      <w:r w:rsidR="00050470">
        <w:rPr>
          <w:sz w:val="24"/>
          <w:szCs w:val="24"/>
        </w:rPr>
        <w:t xml:space="preserve">ved from </w:t>
      </w:r>
      <w:r w:rsidR="00050470" w:rsidRPr="00050470">
        <w:rPr>
          <w:sz w:val="24"/>
          <w:szCs w:val="24"/>
        </w:rPr>
        <w:t>https://geof950777899.wordpress.com/2017/03/15/two-versions-of-task-based-language-teaching/</w:t>
      </w:r>
    </w:p>
    <w:p w14:paraId="7EB44BB1" w14:textId="77777777" w:rsidR="00DD786A" w:rsidRDefault="00DD786A" w:rsidP="00BC3122">
      <w:pPr>
        <w:spacing w:after="0"/>
        <w:ind w:left="426" w:hanging="426"/>
        <w:rPr>
          <w:sz w:val="24"/>
          <w:szCs w:val="24"/>
        </w:rPr>
      </w:pPr>
    </w:p>
    <w:p w14:paraId="1E1EFE59" w14:textId="2496825B" w:rsidR="00BC3122" w:rsidRDefault="00BC3122" w:rsidP="00BC3122">
      <w:pPr>
        <w:spacing w:after="0"/>
        <w:ind w:left="426" w:hanging="426"/>
        <w:rPr>
          <w:sz w:val="24"/>
          <w:szCs w:val="24"/>
        </w:rPr>
      </w:pPr>
      <w:r>
        <w:rPr>
          <w:sz w:val="24"/>
          <w:szCs w:val="24"/>
        </w:rPr>
        <w:t xml:space="preserve">Long, M. (2015). </w:t>
      </w:r>
      <w:r>
        <w:rPr>
          <w:i/>
          <w:iCs/>
          <w:sz w:val="24"/>
          <w:szCs w:val="24"/>
        </w:rPr>
        <w:t>Second Language Acquisition and Task-Based Language Teaching</w:t>
      </w:r>
      <w:r>
        <w:rPr>
          <w:sz w:val="24"/>
          <w:szCs w:val="24"/>
        </w:rPr>
        <w:t>. Wiley Blackwell</w:t>
      </w:r>
      <w:r w:rsidR="00A22E68">
        <w:rPr>
          <w:sz w:val="24"/>
          <w:szCs w:val="24"/>
        </w:rPr>
        <w:t>.</w:t>
      </w:r>
    </w:p>
    <w:p w14:paraId="324EE3B6" w14:textId="17827BFC" w:rsidR="00BC3122" w:rsidRDefault="00BC3122" w:rsidP="00BC3122">
      <w:pPr>
        <w:spacing w:after="0"/>
        <w:ind w:left="426" w:hanging="426"/>
        <w:rPr>
          <w:sz w:val="24"/>
          <w:szCs w:val="24"/>
        </w:rPr>
      </w:pPr>
    </w:p>
    <w:p w14:paraId="03DB353D" w14:textId="500D2D7A" w:rsidR="00BC3122" w:rsidRPr="001169D1" w:rsidRDefault="00BC3122" w:rsidP="00BC3122">
      <w:pPr>
        <w:spacing w:after="0"/>
        <w:ind w:left="426" w:hanging="426"/>
        <w:rPr>
          <w:sz w:val="24"/>
          <w:szCs w:val="24"/>
        </w:rPr>
      </w:pPr>
      <w:r>
        <w:rPr>
          <w:sz w:val="24"/>
          <w:szCs w:val="24"/>
        </w:rPr>
        <w:t>Long, M., Lee, J., &amp; Hillman, K. (</w:t>
      </w:r>
      <w:r w:rsidR="00DD786A">
        <w:rPr>
          <w:sz w:val="24"/>
          <w:szCs w:val="24"/>
        </w:rPr>
        <w:t xml:space="preserve">2019). </w:t>
      </w:r>
      <w:r w:rsidR="001169D1">
        <w:rPr>
          <w:sz w:val="24"/>
          <w:szCs w:val="24"/>
        </w:rPr>
        <w:t xml:space="preserve">Task-Based Language Teaching. In J. W. </w:t>
      </w:r>
      <w:proofErr w:type="spellStart"/>
      <w:r w:rsidR="001169D1">
        <w:rPr>
          <w:sz w:val="24"/>
          <w:szCs w:val="24"/>
        </w:rPr>
        <w:t>Schwieter</w:t>
      </w:r>
      <w:proofErr w:type="spellEnd"/>
      <w:r w:rsidR="001169D1">
        <w:rPr>
          <w:sz w:val="24"/>
          <w:szCs w:val="24"/>
        </w:rPr>
        <w:t xml:space="preserve"> &amp; A. </w:t>
      </w:r>
      <w:proofErr w:type="spellStart"/>
      <w:r w:rsidR="001169D1">
        <w:rPr>
          <w:sz w:val="24"/>
          <w:szCs w:val="24"/>
        </w:rPr>
        <w:t>Benati</w:t>
      </w:r>
      <w:proofErr w:type="spellEnd"/>
      <w:r w:rsidR="001169D1">
        <w:rPr>
          <w:sz w:val="24"/>
          <w:szCs w:val="24"/>
        </w:rPr>
        <w:t xml:space="preserve"> (Eds.)., </w:t>
      </w:r>
      <w:r w:rsidR="001169D1">
        <w:rPr>
          <w:i/>
          <w:iCs/>
          <w:sz w:val="24"/>
          <w:szCs w:val="24"/>
        </w:rPr>
        <w:t xml:space="preserve">The Cambridge Handbook of Language Learning. </w:t>
      </w:r>
      <w:r w:rsidR="001169D1">
        <w:rPr>
          <w:sz w:val="24"/>
          <w:szCs w:val="24"/>
        </w:rPr>
        <w:t>(1</w:t>
      </w:r>
      <w:r w:rsidR="001169D1" w:rsidRPr="001169D1">
        <w:rPr>
          <w:sz w:val="24"/>
          <w:szCs w:val="24"/>
          <w:vertAlign w:val="superscript"/>
        </w:rPr>
        <w:t>st</w:t>
      </w:r>
      <w:r w:rsidR="001169D1">
        <w:rPr>
          <w:sz w:val="24"/>
          <w:szCs w:val="24"/>
        </w:rPr>
        <w:t xml:space="preserve"> edition., pp. 500-526). Cambridge University Press.</w:t>
      </w:r>
    </w:p>
    <w:p w14:paraId="15AC3EF6" w14:textId="0BF82CE0" w:rsidR="00BC3122" w:rsidRDefault="00BC3122" w:rsidP="00BC3122">
      <w:pPr>
        <w:spacing w:after="0"/>
        <w:ind w:left="426" w:hanging="426"/>
        <w:rPr>
          <w:sz w:val="24"/>
          <w:szCs w:val="24"/>
        </w:rPr>
      </w:pPr>
    </w:p>
    <w:p w14:paraId="02EB1B7C" w14:textId="286828D4" w:rsidR="00963D97" w:rsidRPr="005B7134" w:rsidRDefault="00963D97" w:rsidP="00A22E68">
      <w:pPr>
        <w:spacing w:after="0"/>
        <w:ind w:left="426" w:hanging="426"/>
        <w:rPr>
          <w:sz w:val="24"/>
          <w:szCs w:val="24"/>
        </w:rPr>
      </w:pPr>
      <w:proofErr w:type="spellStart"/>
      <w:r>
        <w:rPr>
          <w:sz w:val="24"/>
          <w:szCs w:val="24"/>
        </w:rPr>
        <w:t>Pienemann</w:t>
      </w:r>
      <w:proofErr w:type="spellEnd"/>
      <w:r>
        <w:rPr>
          <w:sz w:val="24"/>
          <w:szCs w:val="24"/>
        </w:rPr>
        <w:t xml:space="preserve">, M. (1984). Psychological constraints on the teachability of languages. </w:t>
      </w:r>
      <w:r>
        <w:rPr>
          <w:i/>
          <w:iCs/>
          <w:sz w:val="24"/>
          <w:szCs w:val="24"/>
        </w:rPr>
        <w:t xml:space="preserve">Studies in Second Language Acquisition, </w:t>
      </w:r>
      <w:r w:rsidR="005B7134">
        <w:rPr>
          <w:i/>
          <w:iCs/>
          <w:sz w:val="24"/>
          <w:szCs w:val="24"/>
        </w:rPr>
        <w:t>6</w:t>
      </w:r>
      <w:r w:rsidR="005B7134">
        <w:rPr>
          <w:sz w:val="24"/>
          <w:szCs w:val="24"/>
        </w:rPr>
        <w:t>(2), 186-214.</w:t>
      </w:r>
    </w:p>
    <w:p w14:paraId="19A76488" w14:textId="77777777" w:rsidR="00963D97" w:rsidRDefault="00963D97" w:rsidP="00A22E68">
      <w:pPr>
        <w:spacing w:after="0"/>
        <w:ind w:left="426" w:hanging="426"/>
        <w:rPr>
          <w:sz w:val="24"/>
          <w:szCs w:val="24"/>
        </w:rPr>
      </w:pPr>
    </w:p>
    <w:p w14:paraId="60032183" w14:textId="108A0325" w:rsidR="00A22E68" w:rsidRPr="00A22E68" w:rsidRDefault="00A22E68" w:rsidP="00A22E68">
      <w:pPr>
        <w:spacing w:after="0"/>
        <w:ind w:left="426" w:hanging="426"/>
        <w:rPr>
          <w:sz w:val="24"/>
          <w:szCs w:val="24"/>
        </w:rPr>
      </w:pPr>
      <w:r>
        <w:rPr>
          <w:sz w:val="24"/>
          <w:szCs w:val="24"/>
        </w:rPr>
        <w:t xml:space="preserve">Schmidt, R. W. (1995). Consciousness and foreign language learning: A tutorial on the role of attention and awareness in learning. In Schmidt, R. W. (ed.), </w:t>
      </w:r>
      <w:r>
        <w:rPr>
          <w:i/>
          <w:iCs/>
          <w:sz w:val="24"/>
          <w:szCs w:val="24"/>
        </w:rPr>
        <w:t xml:space="preserve">Attention and awareness in </w:t>
      </w:r>
      <w:r>
        <w:rPr>
          <w:i/>
          <w:iCs/>
          <w:sz w:val="24"/>
          <w:szCs w:val="24"/>
        </w:rPr>
        <w:lastRenderedPageBreak/>
        <w:t xml:space="preserve">foreign language learning </w:t>
      </w:r>
      <w:r>
        <w:rPr>
          <w:sz w:val="24"/>
          <w:szCs w:val="24"/>
        </w:rPr>
        <w:t xml:space="preserve">(pp. 1-63). Honolulu, HI: National Foreign Language Resource </w:t>
      </w:r>
      <w:proofErr w:type="spellStart"/>
      <w:r>
        <w:rPr>
          <w:sz w:val="24"/>
          <w:szCs w:val="24"/>
        </w:rPr>
        <w:t>Center</w:t>
      </w:r>
      <w:proofErr w:type="spellEnd"/>
      <w:r>
        <w:rPr>
          <w:sz w:val="24"/>
          <w:szCs w:val="24"/>
        </w:rPr>
        <w:t>.</w:t>
      </w:r>
    </w:p>
    <w:p w14:paraId="192343F4" w14:textId="77777777" w:rsidR="00A22E68" w:rsidRDefault="00A22E68" w:rsidP="00A22E68">
      <w:pPr>
        <w:spacing w:after="0"/>
        <w:ind w:left="426" w:hanging="426"/>
        <w:rPr>
          <w:sz w:val="24"/>
          <w:szCs w:val="24"/>
        </w:rPr>
      </w:pPr>
    </w:p>
    <w:p w14:paraId="4ADE481E" w14:textId="73297966" w:rsidR="00BC3122" w:rsidRDefault="00BC3122" w:rsidP="00A22E68">
      <w:pPr>
        <w:spacing w:after="0"/>
        <w:ind w:left="426" w:hanging="426"/>
        <w:rPr>
          <w:sz w:val="24"/>
          <w:szCs w:val="24"/>
        </w:rPr>
      </w:pPr>
      <w:proofErr w:type="spellStart"/>
      <w:r>
        <w:rPr>
          <w:sz w:val="24"/>
          <w:szCs w:val="24"/>
        </w:rPr>
        <w:t>Selinker</w:t>
      </w:r>
      <w:proofErr w:type="spellEnd"/>
      <w:r>
        <w:rPr>
          <w:sz w:val="24"/>
          <w:szCs w:val="24"/>
        </w:rPr>
        <w:t xml:space="preserve">, L. (1972). Interlanguage. </w:t>
      </w:r>
      <w:r>
        <w:rPr>
          <w:i/>
          <w:iCs/>
          <w:sz w:val="24"/>
          <w:szCs w:val="24"/>
        </w:rPr>
        <w:t>International Review of Applied Linguistics</w:t>
      </w:r>
      <w:r>
        <w:rPr>
          <w:sz w:val="24"/>
          <w:szCs w:val="24"/>
        </w:rPr>
        <w:t xml:space="preserve">, </w:t>
      </w:r>
      <w:r w:rsidRPr="00BC3122">
        <w:rPr>
          <w:i/>
          <w:iCs/>
          <w:sz w:val="24"/>
          <w:szCs w:val="24"/>
        </w:rPr>
        <w:t>10</w:t>
      </w:r>
      <w:r>
        <w:rPr>
          <w:sz w:val="24"/>
          <w:szCs w:val="24"/>
        </w:rPr>
        <w:t>(3), 209-231.</w:t>
      </w:r>
    </w:p>
    <w:p w14:paraId="1E5A5DB4" w14:textId="0BC9738D" w:rsidR="00A22E68" w:rsidRDefault="00A22E68" w:rsidP="00BC3122">
      <w:pPr>
        <w:spacing w:after="0"/>
        <w:ind w:left="426" w:hanging="426"/>
        <w:rPr>
          <w:sz w:val="24"/>
          <w:szCs w:val="24"/>
        </w:rPr>
      </w:pPr>
    </w:p>
    <w:p w14:paraId="4A629255" w14:textId="6F394792" w:rsidR="00A22E68" w:rsidRPr="00BC3122" w:rsidRDefault="00A22E68" w:rsidP="00BC3122">
      <w:pPr>
        <w:spacing w:after="0"/>
        <w:ind w:left="426" w:hanging="426"/>
        <w:rPr>
          <w:sz w:val="24"/>
          <w:szCs w:val="24"/>
        </w:rPr>
      </w:pPr>
    </w:p>
    <w:sectPr w:rsidR="00A22E68" w:rsidRPr="00BC31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1D7FA" w14:textId="77777777" w:rsidR="00F15349" w:rsidRDefault="00F15349" w:rsidP="009E3E59">
      <w:pPr>
        <w:spacing w:after="0" w:line="240" w:lineRule="auto"/>
      </w:pPr>
      <w:r>
        <w:separator/>
      </w:r>
    </w:p>
  </w:endnote>
  <w:endnote w:type="continuationSeparator" w:id="0">
    <w:p w14:paraId="13105512" w14:textId="77777777" w:rsidR="00F15349" w:rsidRDefault="00F15349" w:rsidP="009E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1CC26" w14:textId="77777777" w:rsidR="00F15349" w:rsidRDefault="00F15349" w:rsidP="009E3E59">
      <w:pPr>
        <w:spacing w:after="0" w:line="240" w:lineRule="auto"/>
      </w:pPr>
      <w:r>
        <w:separator/>
      </w:r>
    </w:p>
  </w:footnote>
  <w:footnote w:type="continuationSeparator" w:id="0">
    <w:p w14:paraId="259C41FF" w14:textId="77777777" w:rsidR="00F15349" w:rsidRDefault="00F15349" w:rsidP="009E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2E16" w14:textId="3F4B1BEB" w:rsidR="009E3E59" w:rsidRDefault="009E3E59">
    <w:pPr>
      <w:pStyle w:val="Header"/>
    </w:pPr>
    <w:r>
      <w:t>Output Task 1</w:t>
    </w:r>
    <w:r w:rsidR="004A28FF">
      <w:t xml:space="preserve"> – Propose TBLT in a school or institution</w:t>
    </w:r>
    <w:r w:rsidR="004A28FF">
      <w:tab/>
    </w:r>
    <w:r>
      <w:t>Ryan Pain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C5E6C"/>
    <w:multiLevelType w:val="hybridMultilevel"/>
    <w:tmpl w:val="4426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9A2FE3"/>
    <w:multiLevelType w:val="hybridMultilevel"/>
    <w:tmpl w:val="8F7C0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3D5D8D"/>
    <w:multiLevelType w:val="hybridMultilevel"/>
    <w:tmpl w:val="656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B077DC"/>
    <w:multiLevelType w:val="hybridMultilevel"/>
    <w:tmpl w:val="3DD6C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EC4379"/>
    <w:multiLevelType w:val="hybridMultilevel"/>
    <w:tmpl w:val="D472B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C5B0CEE"/>
    <w:multiLevelType w:val="hybridMultilevel"/>
    <w:tmpl w:val="DB747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59"/>
    <w:rsid w:val="000242D4"/>
    <w:rsid w:val="0003518E"/>
    <w:rsid w:val="00037DDE"/>
    <w:rsid w:val="00050470"/>
    <w:rsid w:val="000511B0"/>
    <w:rsid w:val="00075B86"/>
    <w:rsid w:val="00076178"/>
    <w:rsid w:val="00081B41"/>
    <w:rsid w:val="00083D58"/>
    <w:rsid w:val="00083F6B"/>
    <w:rsid w:val="000A799F"/>
    <w:rsid w:val="001005C9"/>
    <w:rsid w:val="00103788"/>
    <w:rsid w:val="001169D1"/>
    <w:rsid w:val="00120C77"/>
    <w:rsid w:val="001839E7"/>
    <w:rsid w:val="00204718"/>
    <w:rsid w:val="00204FA9"/>
    <w:rsid w:val="00214847"/>
    <w:rsid w:val="0023755C"/>
    <w:rsid w:val="00241183"/>
    <w:rsid w:val="00241722"/>
    <w:rsid w:val="002A296D"/>
    <w:rsid w:val="002A7282"/>
    <w:rsid w:val="002B2400"/>
    <w:rsid w:val="002B309A"/>
    <w:rsid w:val="002E2628"/>
    <w:rsid w:val="003316CF"/>
    <w:rsid w:val="0033353D"/>
    <w:rsid w:val="00393246"/>
    <w:rsid w:val="003D21D4"/>
    <w:rsid w:val="004A28FF"/>
    <w:rsid w:val="004A7BE4"/>
    <w:rsid w:val="004E5E5C"/>
    <w:rsid w:val="00515BB8"/>
    <w:rsid w:val="00520A0A"/>
    <w:rsid w:val="0052240B"/>
    <w:rsid w:val="00573684"/>
    <w:rsid w:val="00582B99"/>
    <w:rsid w:val="005A475D"/>
    <w:rsid w:val="005B7134"/>
    <w:rsid w:val="005C1BB5"/>
    <w:rsid w:val="005D10B6"/>
    <w:rsid w:val="005E12B5"/>
    <w:rsid w:val="005F6F26"/>
    <w:rsid w:val="00630C80"/>
    <w:rsid w:val="00633F3A"/>
    <w:rsid w:val="00696D2F"/>
    <w:rsid w:val="006A6EB9"/>
    <w:rsid w:val="006A7988"/>
    <w:rsid w:val="006B0D6A"/>
    <w:rsid w:val="006C5BAF"/>
    <w:rsid w:val="006F276A"/>
    <w:rsid w:val="00742595"/>
    <w:rsid w:val="0074334F"/>
    <w:rsid w:val="00761A1A"/>
    <w:rsid w:val="007B666A"/>
    <w:rsid w:val="00831D6E"/>
    <w:rsid w:val="008412DD"/>
    <w:rsid w:val="008479AC"/>
    <w:rsid w:val="00865E8B"/>
    <w:rsid w:val="008735C2"/>
    <w:rsid w:val="008B3F74"/>
    <w:rsid w:val="008D1CA4"/>
    <w:rsid w:val="009362B7"/>
    <w:rsid w:val="00950315"/>
    <w:rsid w:val="00963D97"/>
    <w:rsid w:val="00963DDE"/>
    <w:rsid w:val="009650E8"/>
    <w:rsid w:val="00971ECA"/>
    <w:rsid w:val="0098237B"/>
    <w:rsid w:val="009A6DE2"/>
    <w:rsid w:val="009B1D11"/>
    <w:rsid w:val="009C0B63"/>
    <w:rsid w:val="009D02BC"/>
    <w:rsid w:val="009D1893"/>
    <w:rsid w:val="009E3E59"/>
    <w:rsid w:val="00A16117"/>
    <w:rsid w:val="00A22E68"/>
    <w:rsid w:val="00A92FC4"/>
    <w:rsid w:val="00AB6895"/>
    <w:rsid w:val="00AE023E"/>
    <w:rsid w:val="00AE4217"/>
    <w:rsid w:val="00AF336E"/>
    <w:rsid w:val="00B17AA3"/>
    <w:rsid w:val="00B4591A"/>
    <w:rsid w:val="00B8055A"/>
    <w:rsid w:val="00B937AB"/>
    <w:rsid w:val="00BC3122"/>
    <w:rsid w:val="00BD6644"/>
    <w:rsid w:val="00BE58AC"/>
    <w:rsid w:val="00BF0065"/>
    <w:rsid w:val="00CA41BB"/>
    <w:rsid w:val="00CA5130"/>
    <w:rsid w:val="00CB7F3D"/>
    <w:rsid w:val="00CC46CC"/>
    <w:rsid w:val="00D22900"/>
    <w:rsid w:val="00D2494B"/>
    <w:rsid w:val="00D5562C"/>
    <w:rsid w:val="00D70BDC"/>
    <w:rsid w:val="00D76199"/>
    <w:rsid w:val="00D859D3"/>
    <w:rsid w:val="00DB10E3"/>
    <w:rsid w:val="00DD786A"/>
    <w:rsid w:val="00DE6C7F"/>
    <w:rsid w:val="00E16990"/>
    <w:rsid w:val="00E42AE6"/>
    <w:rsid w:val="00E443AF"/>
    <w:rsid w:val="00E52301"/>
    <w:rsid w:val="00EA2963"/>
    <w:rsid w:val="00EE3F93"/>
    <w:rsid w:val="00EE6D8B"/>
    <w:rsid w:val="00EF2378"/>
    <w:rsid w:val="00F15349"/>
    <w:rsid w:val="00F20AFD"/>
    <w:rsid w:val="00F26F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CC73"/>
  <w15:chartTrackingRefBased/>
  <w15:docId w15:val="{00D2CA78-7D26-4DE1-A556-94E49AD3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59"/>
  </w:style>
  <w:style w:type="paragraph" w:styleId="Footer">
    <w:name w:val="footer"/>
    <w:basedOn w:val="Normal"/>
    <w:link w:val="FooterChar"/>
    <w:uiPriority w:val="99"/>
    <w:unhideWhenUsed/>
    <w:rsid w:val="009E3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59"/>
  </w:style>
  <w:style w:type="paragraph" w:styleId="ListParagraph">
    <w:name w:val="List Paragraph"/>
    <w:basedOn w:val="Normal"/>
    <w:uiPriority w:val="34"/>
    <w:qFormat/>
    <w:rsid w:val="0003518E"/>
    <w:pPr>
      <w:ind w:left="720"/>
      <w:contextualSpacing/>
    </w:pPr>
  </w:style>
  <w:style w:type="table" w:styleId="TableGrid">
    <w:name w:val="Table Grid"/>
    <w:basedOn w:val="TableNormal"/>
    <w:uiPriority w:val="39"/>
    <w:rsid w:val="00EA2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1363</TotalTime>
  <Pages>7</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Pain</dc:creator>
  <cp:keywords/>
  <dc:description/>
  <cp:lastModifiedBy>Ken Pain</cp:lastModifiedBy>
  <cp:revision>103</cp:revision>
  <dcterms:created xsi:type="dcterms:W3CDTF">2020-11-14T06:11:00Z</dcterms:created>
  <dcterms:modified xsi:type="dcterms:W3CDTF">2020-11-21T02:56:00Z</dcterms:modified>
</cp:coreProperties>
</file>